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color w:val="7030A0"/>
        </w:rPr>
        <w:id w:val="1396165826"/>
        <w:docPartObj>
          <w:docPartGallery w:val="Cover Pages"/>
          <w:docPartUnique/>
        </w:docPartObj>
      </w:sdtPr>
      <w:sdtEndPr/>
      <w:sdtContent>
        <w:p w:rsidR="0049164E" w:rsidRDefault="005C5414">
          <w:r>
            <w:rPr>
              <w:rFonts w:eastAsia="Candara" w:cs="Times New Roman"/>
              <w:noProof/>
              <w:lang w:eastAsia="fr-FR"/>
            </w:rPr>
            <w:drawing>
              <wp:anchor distT="0" distB="0" distL="114300" distR="114300" simplePos="0" relativeHeight="251662846" behindDoc="0" locked="0" layoutInCell="1" allowOverlap="1" wp14:anchorId="6316E475" wp14:editId="00473AB1">
                <wp:simplePos x="0" y="0"/>
                <wp:positionH relativeFrom="column">
                  <wp:posOffset>4646930</wp:posOffset>
                </wp:positionH>
                <wp:positionV relativeFrom="paragraph">
                  <wp:posOffset>-104887</wp:posOffset>
                </wp:positionV>
                <wp:extent cx="1998133" cy="914400"/>
                <wp:effectExtent l="0" t="0" r="254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H 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98133" cy="914400"/>
                        </a:xfrm>
                        <a:prstGeom prst="rect">
                          <a:avLst/>
                        </a:prstGeom>
                      </pic:spPr>
                    </pic:pic>
                  </a:graphicData>
                </a:graphic>
                <wp14:sizeRelH relativeFrom="page">
                  <wp14:pctWidth>0</wp14:pctWidth>
                </wp14:sizeRelH>
                <wp14:sizeRelV relativeFrom="page">
                  <wp14:pctHeight>0</wp14:pctHeight>
                </wp14:sizeRelV>
              </wp:anchor>
            </w:drawing>
          </w:r>
          <w:r w:rsidRPr="00E00632">
            <w:rPr>
              <w:rFonts w:eastAsia="Candara" w:cs="Times New Roman"/>
              <w:noProof/>
              <w:lang w:eastAsia="fr-FR"/>
            </w:rPr>
            <mc:AlternateContent>
              <mc:Choice Requires="wps">
                <w:drawing>
                  <wp:anchor distT="0" distB="0" distL="114300" distR="114300" simplePos="0" relativeHeight="251660798" behindDoc="0" locked="0" layoutInCell="1" allowOverlap="1" wp14:anchorId="47A35824" wp14:editId="60792DA0">
                    <wp:simplePos x="0" y="0"/>
                    <wp:positionH relativeFrom="column">
                      <wp:posOffset>-1224392</wp:posOffset>
                    </wp:positionH>
                    <wp:positionV relativeFrom="paragraph">
                      <wp:posOffset>-1179195</wp:posOffset>
                    </wp:positionV>
                    <wp:extent cx="7873365" cy="11259185"/>
                    <wp:effectExtent l="0" t="0" r="13335" b="18415"/>
                    <wp:wrapNone/>
                    <wp:docPr id="26" name="Rectangle 4" descr="Zig za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73365" cy="11259185"/>
                            </a:xfrm>
                            <a:prstGeom prst="rect">
                              <a:avLst/>
                            </a:prstGeom>
                            <a:solidFill>
                              <a:srgbClr val="612C51"/>
                            </a:solidFill>
                            <a:ln w="12700">
                              <a:solidFill>
                                <a:srgbClr val="FFFFFF"/>
                              </a:solidFill>
                              <a:miter lim="800000"/>
                              <a:headEnd/>
                              <a:tailEnd/>
                            </a:ln>
                            <a:effectLs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 o:spid="_x0000_s1026" alt="Description : Zig zag" style="position:absolute;margin-left:-96.4pt;margin-top:-92.85pt;width:619.95pt;height:886.55pt;z-index:2516607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" fillcolor="#612c51" strokecolor="white" strokeweight="1pt"/>
                </w:pict>
              </mc:Fallback>
            </mc:AlternateContent>
          </w:r>
          <w:r w:rsidRPr="005C5414">
            <w:rPr>
              <w:noProof/>
              <w:lang w:eastAsia="fr-FR"/>
            </w:rPr>
            <w:t xml:space="preserve"> </w:t>
          </w:r>
          <w:r w:rsidRPr="005C5414">
            <w:rPr>
              <w:noProof/>
              <w:lang w:eastAsia="fr-FR"/>
            </w:rPr>
            <w:drawing>
              <wp:inline distT="0" distB="0" distL="0" distR="0" wp14:anchorId="23D84578" wp14:editId="3AEDC71D">
                <wp:extent cx="2808312" cy="1284774"/>
                <wp:effectExtent l="0" t="0" r="0" b="0"/>
                <wp:docPr id="1026" name="Picture 2" descr="C:\Users\VEA\Desktop\Charte graphique ATH 2015\Logo prune auberg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VEA\Desktop\Charte graphique ATH 2015\Logo prune aubergin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8312" cy="1284774"/>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E00632">
            <w:rPr>
              <w:noProof/>
              <w:lang w:eastAsia="fr-FR"/>
            </w:rPr>
            <mc:AlternateContent>
              <mc:Choice Requires="wps">
                <w:drawing>
                  <wp:anchor distT="0" distB="0" distL="114300" distR="114300" simplePos="0" relativeHeight="251661822" behindDoc="0" locked="0" layoutInCell="1" allowOverlap="1" wp14:anchorId="4EFC780E" wp14:editId="469686BB">
                    <wp:simplePos x="0" y="0"/>
                    <wp:positionH relativeFrom="column">
                      <wp:posOffset>128905</wp:posOffset>
                    </wp:positionH>
                    <wp:positionV relativeFrom="paragraph">
                      <wp:posOffset>-366395</wp:posOffset>
                    </wp:positionV>
                    <wp:extent cx="6508750" cy="8871585"/>
                    <wp:effectExtent l="57150" t="38100" r="82550" b="120015"/>
                    <wp:wrapNone/>
                    <wp:docPr id="2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8750" cy="8871585"/>
                            </a:xfrm>
                            <a:prstGeom prst="rect">
                              <a:avLst/>
                            </a:prstGeom>
                            <a:solidFill>
                              <a:srgbClr val="C0B1D3"/>
                            </a:solidFill>
                            <a:ln>
                              <a:headEnd/>
                              <a:tailEnd/>
                            </a:ln>
                            <a:extLst/>
                          </wps:spPr>
                          <wps:style>
                            <a:lnRef idx="0">
                              <a:schemeClr val="accent2"/>
                            </a:lnRef>
                            <a:fillRef idx="3">
                              <a:schemeClr val="accent2"/>
                            </a:fillRef>
                            <a:effectRef idx="3">
                              <a:schemeClr val="accent2"/>
                            </a:effectRef>
                            <a:fontRef idx="minor">
                              <a:schemeClr val="lt1"/>
                            </a:fontRef>
                          </wps:style>
                          <wps:txbx>
                            <w:txbxContent>
                              <w:sdt>
                                <w:sdtPr>
                                  <w:rPr>
                                    <w:b/>
                                    <w:color w:val="612C51" w:themeColor="accent1"/>
                                    <w:sz w:val="80"/>
                                    <w:szCs w:val="80"/>
                                  </w:rPr>
                                  <w:alias w:val="Titre"/>
                                  <w:id w:val="470865081"/>
                                  <w:dataBinding w:prefixMappings="xmlns:ns0='http://schemas.openxmlformats.org/package/2006/metadata/core-properties' xmlns:ns1='http://purl.org/dc/elements/1.1/'" w:xpath="/ns0:coreProperties[1]/ns1:title[1]" w:storeItemID="{6C3C8BC8-F283-45AE-878A-BAB7291924A1}"/>
                                  <w:text/>
                                </w:sdtPr>
                                <w:sdtEndPr/>
                                <w:sdtContent>
                                  <w:p w:rsidR="00A11B84" w:rsidRPr="00DA2B39" w:rsidRDefault="00A11B84">
                                    <w:pPr>
                                      <w:pStyle w:val="Sansinterligne"/>
                                      <w:rPr>
                                        <w:b/>
                                        <w:color w:val="612C51" w:themeColor="accent1"/>
                                        <w:sz w:val="80"/>
                                        <w:szCs w:val="80"/>
                                      </w:rPr>
                                    </w:pPr>
                                    <w:r w:rsidRPr="00DA2B39">
                                      <w:rPr>
                                        <w:b/>
                                        <w:color w:val="612C51" w:themeColor="accent1"/>
                                        <w:sz w:val="80"/>
                                        <w:szCs w:val="80"/>
                                      </w:rPr>
                                      <w:t xml:space="preserve">Chapitre </w:t>
                                    </w:r>
                                    <w:r>
                                      <w:rPr>
                                        <w:b/>
                                        <w:color w:val="612C51" w:themeColor="accent1"/>
                                        <w:sz w:val="80"/>
                                        <w:szCs w:val="80"/>
                                      </w:rPr>
                                      <w:t>2413</w:t>
                                    </w:r>
                                  </w:p>
                                </w:sdtContent>
                              </w:sdt>
                              <w:p w:rsidR="00A11B84" w:rsidRDefault="00A11B84">
                                <w:pPr>
                                  <w:pStyle w:val="Sansinterligne"/>
                                  <w:rPr>
                                    <w:color w:val="612C51" w:themeColor="accent1"/>
                                    <w:sz w:val="52"/>
                                    <w:szCs w:val="40"/>
                                  </w:rPr>
                                </w:pPr>
                                <w:r w:rsidRPr="00F072B9">
                                  <w:rPr>
                                    <w:color w:val="612C51" w:themeColor="accent1"/>
                                    <w:sz w:val="52"/>
                                    <w:szCs w:val="40"/>
                                  </w:rPr>
                                  <w:t>Spécificités des sociétés cotées</w:t>
                                </w:r>
                              </w:p>
                              <w:p w:rsidR="00A11B84" w:rsidRPr="00DA2B39" w:rsidRDefault="00AF58A5">
                                <w:pPr>
                                  <w:pStyle w:val="Sansinterligne"/>
                                  <w:rPr>
                                    <w:color w:val="612C51" w:themeColor="accent1"/>
                                    <w:sz w:val="40"/>
                                  </w:rPr>
                                </w:pPr>
                                <w:sdt>
                                  <w:sdtPr>
                                    <w:rPr>
                                      <w:b/>
                                      <w:color w:val="612C51" w:themeColor="accent1"/>
                                      <w:sz w:val="40"/>
                                    </w:rPr>
                                    <w:alias w:val="Résumé"/>
                                    <w:id w:val="-1355501008"/>
                                    <w:dataBinding w:prefixMappings="xmlns:ns0='http://schemas.microsoft.com/office/2006/coverPageProps'" w:xpath="/ns0:CoverPageProperties[1]/ns0:Abstract[1]" w:storeItemID="{55AF091B-3C7A-41E3-B477-F2FDAA23CFDA}"/>
                                    <w:text/>
                                  </w:sdtPr>
                                  <w:sdtEndPr/>
                                  <w:sdtContent>
                                    <w:r w:rsidR="00A11B84" w:rsidRPr="00282E09">
                                      <w:rPr>
                                        <w:b/>
                                        <w:color w:val="612C51" w:themeColor="accent1"/>
                                        <w:sz w:val="40"/>
                                      </w:rPr>
                                      <w:t>Obligations permanentes du commissaire aux comptes</w:t>
                                    </w:r>
                                  </w:sdtContent>
                                </w:sdt>
                              </w:p>
                              <w:p w:rsidR="00A11B84" w:rsidRPr="00DA2B39" w:rsidRDefault="00A11B84">
                                <w:pPr>
                                  <w:pStyle w:val="Sansinterligne"/>
                                  <w:rPr>
                                    <w:noProof/>
                                    <w:color w:val="612C51" w:themeColor="accent1"/>
                                    <w:sz w:val="20"/>
                                    <w:szCs w:val="20"/>
                                    <w:lang w:eastAsia="fr-FR"/>
                                  </w:rPr>
                                </w:pPr>
                              </w:p>
                              <w:p w:rsidR="00A11B84" w:rsidRPr="00DA2B39" w:rsidRDefault="00A11B84">
                                <w:pPr>
                                  <w:pStyle w:val="Sansinterligne"/>
                                  <w:rPr>
                                    <w:noProof/>
                                    <w:color w:val="612C51" w:themeColor="accent1"/>
                                    <w:sz w:val="20"/>
                                    <w:szCs w:val="20"/>
                                    <w:lang w:eastAsia="fr-FR"/>
                                  </w:rPr>
                                </w:pPr>
                              </w:p>
                              <w:p w:rsidR="00A11B84" w:rsidRPr="00DA2B39" w:rsidRDefault="00A11B84">
                                <w:pPr>
                                  <w:pStyle w:val="Sansinterligne"/>
                                  <w:rPr>
                                    <w:noProof/>
                                    <w:color w:val="612C51" w:themeColor="accent1"/>
                                    <w:sz w:val="20"/>
                                    <w:szCs w:val="20"/>
                                    <w:lang w:eastAsia="fr-FR"/>
                                  </w:rPr>
                                </w:pPr>
                              </w:p>
                              <w:p w:rsidR="00A11B84" w:rsidRPr="00DA2B39" w:rsidRDefault="00A11B84">
                                <w:pPr>
                                  <w:pStyle w:val="Sansinterligne"/>
                                  <w:rPr>
                                    <w:noProof/>
                                    <w:color w:val="612C51" w:themeColor="accent1"/>
                                    <w:sz w:val="20"/>
                                    <w:szCs w:val="20"/>
                                    <w:lang w:eastAsia="fr-FR"/>
                                  </w:rPr>
                                </w:pPr>
                              </w:p>
                              <w:p w:rsidR="00A11B84" w:rsidRPr="00DA2B39" w:rsidRDefault="00A11B84">
                                <w:pPr>
                                  <w:pStyle w:val="Sansinterligne"/>
                                  <w:rPr>
                                    <w:noProof/>
                                    <w:color w:val="612C51" w:themeColor="accent1"/>
                                    <w:sz w:val="20"/>
                                    <w:szCs w:val="20"/>
                                    <w:lang w:eastAsia="fr-FR"/>
                                  </w:rPr>
                                </w:pPr>
                              </w:p>
                              <w:p w:rsidR="00A11B84" w:rsidRDefault="00A11B84">
                                <w:pPr>
                                  <w:pStyle w:val="Sansinterligne"/>
                                  <w:rPr>
                                    <w:noProof/>
                                    <w:color w:val="612C51" w:themeColor="accent1"/>
                                    <w:sz w:val="20"/>
                                    <w:szCs w:val="20"/>
                                    <w:lang w:eastAsia="fr-FR"/>
                                  </w:rPr>
                                </w:pPr>
                              </w:p>
                              <w:p w:rsidR="00A11B84" w:rsidRDefault="00A11B84">
                                <w:pPr>
                                  <w:pStyle w:val="Sansinterligne"/>
                                  <w:rPr>
                                    <w:noProof/>
                                    <w:color w:val="612C51" w:themeColor="accent1"/>
                                    <w:sz w:val="20"/>
                                    <w:szCs w:val="20"/>
                                    <w:lang w:eastAsia="fr-FR"/>
                                  </w:rPr>
                                </w:pPr>
                              </w:p>
                              <w:p w:rsidR="00A11B84" w:rsidRDefault="00A11B84">
                                <w:pPr>
                                  <w:pStyle w:val="Sansinterligne"/>
                                  <w:rPr>
                                    <w:noProof/>
                                    <w:color w:val="612C51" w:themeColor="accent1"/>
                                    <w:sz w:val="20"/>
                                    <w:szCs w:val="20"/>
                                    <w:lang w:eastAsia="fr-FR"/>
                                  </w:rPr>
                                </w:pPr>
                              </w:p>
                              <w:p w:rsidR="00A11B84" w:rsidRDefault="00A11B84">
                                <w:pPr>
                                  <w:pStyle w:val="Sansinterligne"/>
                                  <w:rPr>
                                    <w:noProof/>
                                    <w:color w:val="612C51" w:themeColor="accent1"/>
                                    <w:sz w:val="20"/>
                                    <w:szCs w:val="20"/>
                                    <w:lang w:eastAsia="fr-FR"/>
                                  </w:rPr>
                                </w:pPr>
                              </w:p>
                              <w:p w:rsidR="00A11B84" w:rsidRDefault="00A11B84">
                                <w:pPr>
                                  <w:pStyle w:val="Sansinterligne"/>
                                  <w:rPr>
                                    <w:noProof/>
                                    <w:color w:val="612C51" w:themeColor="accent1"/>
                                    <w:sz w:val="20"/>
                                    <w:szCs w:val="20"/>
                                    <w:lang w:eastAsia="fr-FR"/>
                                  </w:rPr>
                                </w:pPr>
                              </w:p>
                              <w:p w:rsidR="00A11B84" w:rsidRDefault="00A11B84">
                                <w:pPr>
                                  <w:pStyle w:val="Sansinterligne"/>
                                  <w:rPr>
                                    <w:noProof/>
                                    <w:color w:val="612C51" w:themeColor="accent1"/>
                                    <w:sz w:val="20"/>
                                    <w:szCs w:val="20"/>
                                    <w:lang w:eastAsia="fr-FR"/>
                                  </w:rPr>
                                </w:pPr>
                              </w:p>
                              <w:p w:rsidR="00A11B84" w:rsidRPr="00DA2B39" w:rsidRDefault="00A11B84">
                                <w:pPr>
                                  <w:pStyle w:val="Sansinterligne"/>
                                  <w:rPr>
                                    <w:noProof/>
                                    <w:color w:val="612C51" w:themeColor="accent1"/>
                                    <w:sz w:val="20"/>
                                    <w:szCs w:val="20"/>
                                    <w:lang w:eastAsia="fr-FR"/>
                                  </w:rPr>
                                </w:pPr>
                              </w:p>
                              <w:p w:rsidR="00A11B84" w:rsidRPr="00DA2B39" w:rsidRDefault="00A11B84">
                                <w:pPr>
                                  <w:pStyle w:val="Sansinterligne"/>
                                  <w:rPr>
                                    <w:noProof/>
                                    <w:color w:val="612C51" w:themeColor="accent1"/>
                                    <w:sz w:val="20"/>
                                    <w:szCs w:val="20"/>
                                    <w:lang w:eastAsia="fr-FR"/>
                                  </w:rPr>
                                </w:pPr>
                              </w:p>
                              <w:p w:rsidR="00A11B84" w:rsidRPr="00DA2B39" w:rsidRDefault="00A11B84">
                                <w:pPr>
                                  <w:pStyle w:val="Sansinterligne"/>
                                  <w:rPr>
                                    <w:noProof/>
                                    <w:color w:val="612C51" w:themeColor="accent1"/>
                                    <w:sz w:val="20"/>
                                    <w:szCs w:val="20"/>
                                    <w:lang w:eastAsia="fr-FR"/>
                                  </w:rPr>
                                </w:pPr>
                              </w:p>
                              <w:p w:rsidR="00A11B84" w:rsidRPr="00DA2B39" w:rsidRDefault="00A11B84">
                                <w:pPr>
                                  <w:pStyle w:val="Sansinterligne"/>
                                  <w:rPr>
                                    <w:noProof/>
                                    <w:color w:val="612C51" w:themeColor="accent1"/>
                                    <w:sz w:val="20"/>
                                    <w:szCs w:val="20"/>
                                    <w:lang w:eastAsia="fr-FR"/>
                                  </w:rPr>
                                </w:pPr>
                              </w:p>
                              <w:p w:rsidR="00A11B84" w:rsidRPr="00DA2B39" w:rsidRDefault="00A11B84">
                                <w:pPr>
                                  <w:pStyle w:val="Sansinterligne"/>
                                  <w:rPr>
                                    <w:noProof/>
                                    <w:color w:val="612C51" w:themeColor="accent1"/>
                                    <w:sz w:val="20"/>
                                    <w:szCs w:val="20"/>
                                    <w:lang w:eastAsia="fr-FR"/>
                                  </w:rPr>
                                </w:pPr>
                              </w:p>
                              <w:p w:rsidR="00A11B84" w:rsidRPr="00DA2B39" w:rsidRDefault="00A11B84">
                                <w:pPr>
                                  <w:pStyle w:val="Sansinterligne"/>
                                  <w:rPr>
                                    <w:noProof/>
                                    <w:color w:val="612C51" w:themeColor="accent1"/>
                                    <w:sz w:val="20"/>
                                    <w:szCs w:val="20"/>
                                    <w:lang w:eastAsia="fr-FR"/>
                                  </w:rPr>
                                </w:pPr>
                              </w:p>
                              <w:p w:rsidR="00A11B84" w:rsidRPr="00DA2B39" w:rsidRDefault="00A11B84">
                                <w:pPr>
                                  <w:pStyle w:val="Sansinterligne"/>
                                  <w:rPr>
                                    <w:noProof/>
                                    <w:color w:val="612C51" w:themeColor="accent1"/>
                                    <w:sz w:val="20"/>
                                    <w:szCs w:val="20"/>
                                    <w:lang w:eastAsia="fr-FR"/>
                                  </w:rPr>
                                </w:pPr>
                              </w:p>
                              <w:p w:rsidR="00A11B84" w:rsidRPr="00DA2B39" w:rsidRDefault="00A11B84">
                                <w:pPr>
                                  <w:pStyle w:val="Sansinterligne"/>
                                  <w:rPr>
                                    <w:noProof/>
                                    <w:color w:val="612C51" w:themeColor="accent1"/>
                                    <w:sz w:val="20"/>
                                    <w:szCs w:val="20"/>
                                    <w:lang w:eastAsia="fr-FR"/>
                                  </w:rPr>
                                </w:pPr>
                              </w:p>
                              <w:p w:rsidR="00A11B84" w:rsidRPr="00DA2B39" w:rsidRDefault="00A11B84" w:rsidP="005C5414">
                                <w:pPr>
                                  <w:pStyle w:val="Sansinterligne"/>
                                  <w:jc w:val="right"/>
                                  <w:rPr>
                                    <w:color w:val="612C51" w:themeColor="accent1"/>
                                  </w:rPr>
                                </w:pPr>
                                <w:r w:rsidRPr="00DA2B39">
                                  <w:rPr>
                                    <w:noProof/>
                                    <w:color w:val="612C51" w:themeColor="accent1"/>
                                    <w:lang w:eastAsia="fr-FR"/>
                                  </w:rPr>
                                  <w:drawing>
                                    <wp:inline distT="0" distB="0" distL="0" distR="0" wp14:anchorId="4E4859ED" wp14:editId="48AEA958">
                                      <wp:extent cx="3537020" cy="2738466"/>
                                      <wp:effectExtent l="0" t="0" r="635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68001" cy="2762452"/>
                                              </a:xfrm>
                                              <a:prstGeom prst="rect">
                                                <a:avLst/>
                                              </a:prstGeom>
                                              <a:ln>
                                                <a:noFill/>
                                              </a:ln>
                                              <a:effectLst>
                                                <a:softEdge rad="112500"/>
                                              </a:effectLst>
                                            </pic:spPr>
                                          </pic:pic>
                                        </a:graphicData>
                                      </a:graphic>
                                    </wp:inline>
                                  </w:drawing>
                                </w:r>
                              </w:p>
                            </w:txbxContent>
                          </wps:txbx>
                          <wps:bodyPr rot="0" vert="horz" wrap="square" lIns="228600" tIns="1371600" rIns="45720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left:0;text-align:left;margin-left:10.15pt;margin-top:-28.85pt;width:512.5pt;height:698.55pt;z-index:2516618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" fillcolor="#c0b1d3" stroked="f">
                    <v:shadow on="t" color="black" opacity="22937f" origin=",.5" offset="0,.63889mm"/>
                    <v:textbox inset="18pt,108pt,36pt">
                      <w:txbxContent>
                        <w:sdt>
                          <w:sdtPr>
                            <w:rPr>
                              <w:b/>
                              <w:color w:val="612C51" w:themeColor="accent1"/>
                              <w:sz w:val="80"/>
                              <w:szCs w:val="80"/>
                            </w:rPr>
                            <w:alias w:val="Titre"/>
                            <w:id w:val="470865081"/>
                            <w:dataBinding w:prefixMappings="xmlns:ns0='http://schemas.openxmlformats.org/package/2006/metadata/core-properties' xmlns:ns1='http://purl.org/dc/elements/1.1/'" w:xpath="/ns0:coreProperties[1]/ns1:title[1]" w:storeItemID="{6C3C8BC8-F283-45AE-878A-BAB7291924A1}"/>
                            <w:text/>
                          </w:sdtPr>
                          <w:sdtEndPr/>
                          <w:sdtContent>
                            <w:p w:rsidR="007E0487" w:rsidRPr="00DA2B39" w:rsidRDefault="007E0487">
                              <w:pPr>
                                <w:pStyle w:val="Sansinterligne"/>
                                <w:rPr>
                                  <w:b/>
                                  <w:color w:val="612C51" w:themeColor="accent1"/>
                                  <w:sz w:val="80"/>
                                  <w:szCs w:val="80"/>
                                </w:rPr>
                              </w:pPr>
                              <w:r w:rsidRPr="00DA2B39">
                                <w:rPr>
                                  <w:b/>
                                  <w:color w:val="612C51" w:themeColor="accent1"/>
                                  <w:sz w:val="80"/>
                                  <w:szCs w:val="80"/>
                                </w:rPr>
                                <w:t xml:space="preserve">Chapitre </w:t>
                              </w:r>
                              <w:r w:rsidR="00165177">
                                <w:rPr>
                                  <w:b/>
                                  <w:color w:val="612C51" w:themeColor="accent1"/>
                                  <w:sz w:val="80"/>
                                  <w:szCs w:val="80"/>
                                </w:rPr>
                                <w:t>2</w:t>
                              </w:r>
                              <w:r w:rsidR="00F072B9">
                                <w:rPr>
                                  <w:b/>
                                  <w:color w:val="612C51" w:themeColor="accent1"/>
                                  <w:sz w:val="80"/>
                                  <w:szCs w:val="80"/>
                                </w:rPr>
                                <w:t>4</w:t>
                              </w:r>
                              <w:r w:rsidR="00282E09">
                                <w:rPr>
                                  <w:b/>
                                  <w:color w:val="612C51" w:themeColor="accent1"/>
                                  <w:sz w:val="80"/>
                                  <w:szCs w:val="80"/>
                                </w:rPr>
                                <w:t>13</w:t>
                              </w:r>
                            </w:p>
                          </w:sdtContent>
                        </w:sdt>
                        <w:p w:rsidR="00EB04D7" w:rsidRDefault="00F072B9">
                          <w:pPr>
                            <w:pStyle w:val="Sansinterligne"/>
                            <w:rPr>
                              <w:color w:val="612C51" w:themeColor="accent1"/>
                              <w:sz w:val="52"/>
                              <w:szCs w:val="40"/>
                            </w:rPr>
                          </w:pPr>
                          <w:r w:rsidRPr="00F072B9">
                            <w:rPr>
                              <w:color w:val="612C51" w:themeColor="accent1"/>
                              <w:sz w:val="52"/>
                              <w:szCs w:val="40"/>
                            </w:rPr>
                            <w:t>Spécif</w:t>
                          </w:r>
                          <w:bookmarkStart w:id="1" w:name="_GoBack"/>
                          <w:bookmarkEnd w:id="1"/>
                          <w:r w:rsidRPr="00F072B9">
                            <w:rPr>
                              <w:color w:val="612C51" w:themeColor="accent1"/>
                              <w:sz w:val="52"/>
                              <w:szCs w:val="40"/>
                            </w:rPr>
                            <w:t>icités des sociétés cotées</w:t>
                          </w:r>
                        </w:p>
                        <w:p w:rsidR="007E0487" w:rsidRPr="00DA2B39" w:rsidRDefault="00282E09">
                          <w:pPr>
                            <w:pStyle w:val="Sansinterligne"/>
                            <w:rPr>
                              <w:color w:val="612C51" w:themeColor="accent1"/>
                              <w:sz w:val="40"/>
                            </w:rPr>
                          </w:pPr>
                          <w:sdt>
                            <w:sdtPr>
                              <w:rPr>
                                <w:b/>
                                <w:color w:val="612C51" w:themeColor="accent1"/>
                                <w:sz w:val="40"/>
                              </w:rPr>
                              <w:alias w:val="Résumé"/>
                              <w:id w:val="-1355501008"/>
                              <w:dataBinding w:prefixMappings="xmlns:ns0='http://schemas.microsoft.com/office/2006/coverPageProps'" w:xpath="/ns0:CoverPageProperties[1]/ns0:Abstract[1]" w:storeItemID="{55AF091B-3C7A-41E3-B477-F2FDAA23CFDA}"/>
                              <w:text/>
                            </w:sdtPr>
                            <w:sdtContent>
                              <w:r w:rsidRPr="00282E09">
                                <w:rPr>
                                  <w:b/>
                                  <w:color w:val="612C51" w:themeColor="accent1"/>
                                  <w:sz w:val="40"/>
                                </w:rPr>
                                <w:t>Obligations permanentes du commissaire aux comptes</w:t>
                              </w:r>
                            </w:sdtContent>
                          </w:sdt>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822370" w:rsidRDefault="00822370">
                          <w:pPr>
                            <w:pStyle w:val="Sansinterligne"/>
                            <w:rPr>
                              <w:noProof/>
                              <w:color w:val="612C51" w:themeColor="accent1"/>
                              <w:sz w:val="20"/>
                              <w:szCs w:val="20"/>
                              <w:lang w:eastAsia="fr-FR"/>
                            </w:rPr>
                          </w:pPr>
                        </w:p>
                        <w:p w:rsidR="00AB6EEF" w:rsidRDefault="00AB6EEF">
                          <w:pPr>
                            <w:pStyle w:val="Sansinterligne"/>
                            <w:rPr>
                              <w:noProof/>
                              <w:color w:val="612C51" w:themeColor="accent1"/>
                              <w:sz w:val="20"/>
                              <w:szCs w:val="20"/>
                              <w:lang w:eastAsia="fr-FR"/>
                            </w:rPr>
                          </w:pPr>
                        </w:p>
                        <w:p w:rsidR="00EE5E04" w:rsidRDefault="00EE5E04">
                          <w:pPr>
                            <w:pStyle w:val="Sansinterligne"/>
                            <w:rPr>
                              <w:noProof/>
                              <w:color w:val="612C51" w:themeColor="accent1"/>
                              <w:sz w:val="20"/>
                              <w:szCs w:val="20"/>
                              <w:lang w:eastAsia="fr-FR"/>
                            </w:rPr>
                          </w:pPr>
                        </w:p>
                        <w:p w:rsidR="00282E09" w:rsidRDefault="00282E09">
                          <w:pPr>
                            <w:pStyle w:val="Sansinterligne"/>
                            <w:rPr>
                              <w:noProof/>
                              <w:color w:val="612C51" w:themeColor="accent1"/>
                              <w:sz w:val="20"/>
                              <w:szCs w:val="20"/>
                              <w:lang w:eastAsia="fr-FR"/>
                            </w:rPr>
                          </w:pPr>
                        </w:p>
                        <w:p w:rsidR="00282E09" w:rsidRDefault="00282E09">
                          <w:pPr>
                            <w:pStyle w:val="Sansinterligne"/>
                            <w:rPr>
                              <w:noProof/>
                              <w:color w:val="612C51" w:themeColor="accent1"/>
                              <w:sz w:val="20"/>
                              <w:szCs w:val="20"/>
                              <w:lang w:eastAsia="fr-FR"/>
                            </w:rPr>
                          </w:pPr>
                        </w:p>
                        <w:p w:rsidR="00282E09" w:rsidRDefault="00282E09">
                          <w:pPr>
                            <w:pStyle w:val="Sansinterligne"/>
                            <w:rPr>
                              <w:noProof/>
                              <w:color w:val="612C51" w:themeColor="accent1"/>
                              <w:sz w:val="20"/>
                              <w:szCs w:val="20"/>
                              <w:lang w:eastAsia="fr-FR"/>
                            </w:rPr>
                          </w:pPr>
                        </w:p>
                        <w:p w:rsidR="00AB6EEF" w:rsidRPr="00DA2B39" w:rsidRDefault="00AB6EEF">
                          <w:pPr>
                            <w:pStyle w:val="Sansinterligne"/>
                            <w:rPr>
                              <w:noProof/>
                              <w:color w:val="612C51" w:themeColor="accent1"/>
                              <w:sz w:val="20"/>
                              <w:szCs w:val="20"/>
                              <w:lang w:eastAsia="fr-FR"/>
                            </w:rPr>
                          </w:pPr>
                        </w:p>
                        <w:p w:rsidR="00822370" w:rsidRPr="00DA2B39" w:rsidRDefault="00822370">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rsidP="005C5414">
                          <w:pPr>
                            <w:pStyle w:val="Sansinterligne"/>
                            <w:jc w:val="right"/>
                            <w:rPr>
                              <w:color w:val="612C51" w:themeColor="accent1"/>
                            </w:rPr>
                          </w:pPr>
                          <w:r w:rsidRPr="00DA2B39">
                            <w:rPr>
                              <w:noProof/>
                              <w:color w:val="612C51" w:themeColor="accent1"/>
                              <w:lang w:eastAsia="fr-FR"/>
                            </w:rPr>
                            <w:drawing>
                              <wp:inline distT="0" distB="0" distL="0" distR="0" wp14:anchorId="4E4859ED" wp14:editId="48AEA958">
                                <wp:extent cx="3537020" cy="2738466"/>
                                <wp:effectExtent l="0" t="0" r="635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568001" cy="2762452"/>
                                        </a:xfrm>
                                        <a:prstGeom prst="rect">
                                          <a:avLst/>
                                        </a:prstGeom>
                                        <a:ln>
                                          <a:noFill/>
                                        </a:ln>
                                        <a:effectLst>
                                          <a:softEdge rad="112500"/>
                                        </a:effectLst>
                                      </pic:spPr>
                                    </pic:pic>
                                  </a:graphicData>
                                </a:graphic>
                              </wp:inline>
                            </w:drawing>
                          </w:r>
                        </w:p>
                      </w:txbxContent>
                    </v:textbox>
                  </v:rect>
                </w:pict>
              </mc:Fallback>
            </mc:AlternateContent>
          </w:r>
        </w:p>
        <w:p w:rsidR="0049164E" w:rsidRDefault="0049164E"/>
        <w:p w:rsidR="0049164E" w:rsidRDefault="0049164E" w:rsidP="005C5414">
          <w:pPr>
            <w:pStyle w:val="CACTitre5"/>
            <w:rPr>
              <w:b/>
              <w:noProof/>
            </w:rPr>
          </w:pPr>
          <w:r>
            <w:br w:type="page"/>
          </w:r>
        </w:p>
      </w:sdtContent>
    </w:sdt>
    <w:p w:rsidR="00FA0079" w:rsidRDefault="00FA0079" w:rsidP="003C0504">
      <w:pPr>
        <w:pStyle w:val="CACCorps"/>
      </w:pPr>
    </w:p>
    <w:p w:rsidR="00282E09" w:rsidRDefault="00282E09">
      <w:pPr>
        <w:pStyle w:val="TM1"/>
        <w:rPr>
          <w:rFonts w:eastAsiaTheme="minorEastAsia"/>
          <w:b w:val="0"/>
          <w:color w:val="auto"/>
          <w:sz w:val="22"/>
          <w:lang w:eastAsia="fr-FR"/>
        </w:rPr>
      </w:pPr>
      <w:r>
        <w:rPr>
          <w:rFonts w:asciiTheme="majorHAnsi" w:eastAsiaTheme="majorEastAsia" w:hAnsiTheme="majorHAnsi" w:cstheme="majorBidi"/>
          <w:bCs/>
          <w:color w:val="FF0000"/>
          <w:sz w:val="28"/>
          <w:szCs w:val="28"/>
        </w:rPr>
        <w:fldChar w:fldCharType="begin"/>
      </w:r>
      <w:r>
        <w:rPr>
          <w:rFonts w:asciiTheme="majorHAnsi" w:eastAsiaTheme="majorEastAsia" w:hAnsiTheme="majorHAnsi" w:cstheme="majorBidi"/>
          <w:bCs/>
          <w:sz w:val="28"/>
          <w:szCs w:val="28"/>
        </w:rPr>
        <w:instrText xml:space="preserve"> TOC \o "2-3" \h \z \t "Titre 1;1;CAC.Titre 1;1;CAC.Titre 2;2;CAC.Titre 3;3;Style1;1;Style2;1" </w:instrText>
      </w:r>
      <w:r>
        <w:rPr>
          <w:rFonts w:asciiTheme="majorHAnsi" w:eastAsiaTheme="majorEastAsia" w:hAnsiTheme="majorHAnsi" w:cstheme="majorBidi"/>
          <w:bCs/>
          <w:color w:val="FF0000"/>
          <w:sz w:val="28"/>
          <w:szCs w:val="28"/>
        </w:rPr>
        <w:fldChar w:fldCharType="separate"/>
      </w:r>
      <w:hyperlink w:anchor="_Toc452385946" w:history="1">
        <w:r w:rsidRPr="005B4337">
          <w:rPr>
            <w:rStyle w:val="Lienhypertexte"/>
          </w:rPr>
          <w:t>Section 100.</w:t>
        </w:r>
        <w:r>
          <w:rPr>
            <w:rFonts w:eastAsiaTheme="minorEastAsia"/>
            <w:b w:val="0"/>
            <w:color w:val="auto"/>
            <w:sz w:val="22"/>
            <w:lang w:eastAsia="fr-FR"/>
          </w:rPr>
          <w:tab/>
        </w:r>
        <w:r w:rsidRPr="005B4337">
          <w:rPr>
            <w:rStyle w:val="Lienhypertexte"/>
          </w:rPr>
          <w:t>RELATIONS AVEC LES AUTORITES DE SURVEILLANCE OU DE CONTROLE</w:t>
        </w:r>
        <w:r>
          <w:rPr>
            <w:webHidden/>
          </w:rPr>
          <w:tab/>
        </w:r>
        <w:r>
          <w:rPr>
            <w:webHidden/>
          </w:rPr>
          <w:fldChar w:fldCharType="begin"/>
        </w:r>
        <w:r>
          <w:rPr>
            <w:webHidden/>
          </w:rPr>
          <w:instrText xml:space="preserve"> PAGEREF _Toc452385946 \h </w:instrText>
        </w:r>
        <w:r>
          <w:rPr>
            <w:webHidden/>
          </w:rPr>
        </w:r>
        <w:r>
          <w:rPr>
            <w:webHidden/>
          </w:rPr>
          <w:fldChar w:fldCharType="separate"/>
        </w:r>
        <w:r>
          <w:rPr>
            <w:webHidden/>
          </w:rPr>
          <w:t>4</w:t>
        </w:r>
        <w:r>
          <w:rPr>
            <w:webHidden/>
          </w:rPr>
          <w:fldChar w:fldCharType="end"/>
        </w:r>
      </w:hyperlink>
    </w:p>
    <w:p w:rsidR="00282E09" w:rsidRDefault="00AF58A5">
      <w:pPr>
        <w:pStyle w:val="TM2"/>
        <w:tabs>
          <w:tab w:val="left" w:pos="660"/>
          <w:tab w:val="right" w:leader="dot" w:pos="9060"/>
        </w:tabs>
        <w:rPr>
          <w:rFonts w:asciiTheme="minorHAnsi" w:eastAsiaTheme="minorEastAsia" w:hAnsiTheme="minorHAnsi"/>
          <w:noProof/>
          <w:lang w:eastAsia="fr-FR"/>
        </w:rPr>
      </w:pPr>
      <w:hyperlink w:anchor="_Toc452385947" w:history="1">
        <w:r w:rsidR="00282E09" w:rsidRPr="005B4337">
          <w:rPr>
            <w:rStyle w:val="Lienhypertexte"/>
            <w:noProof/>
          </w:rPr>
          <w:t>1.</w:t>
        </w:r>
        <w:r w:rsidR="00282E09">
          <w:rPr>
            <w:rFonts w:asciiTheme="minorHAnsi" w:eastAsiaTheme="minorEastAsia" w:hAnsiTheme="minorHAnsi"/>
            <w:noProof/>
            <w:lang w:eastAsia="fr-FR"/>
          </w:rPr>
          <w:tab/>
        </w:r>
        <w:r w:rsidR="00282E09" w:rsidRPr="005B4337">
          <w:rPr>
            <w:rStyle w:val="Lienhypertexte"/>
            <w:noProof/>
          </w:rPr>
          <w:t>RELATIONS AVEC LE H3C – CONTROLE QUALITE TRIENNAL, ACCORD D’ECHANGE D’INFORMATIONS ET DE COOPERATION H3C/AMF, ACCORD H3C/ACP</w:t>
        </w:r>
        <w:r w:rsidR="00282E09">
          <w:rPr>
            <w:noProof/>
            <w:webHidden/>
          </w:rPr>
          <w:tab/>
        </w:r>
        <w:r w:rsidR="00282E09">
          <w:rPr>
            <w:noProof/>
            <w:webHidden/>
          </w:rPr>
          <w:fldChar w:fldCharType="begin"/>
        </w:r>
        <w:r w:rsidR="00282E09">
          <w:rPr>
            <w:noProof/>
            <w:webHidden/>
          </w:rPr>
          <w:instrText xml:space="preserve"> PAGEREF _Toc452385947 \h </w:instrText>
        </w:r>
        <w:r w:rsidR="00282E09">
          <w:rPr>
            <w:noProof/>
            <w:webHidden/>
          </w:rPr>
        </w:r>
        <w:r w:rsidR="00282E09">
          <w:rPr>
            <w:noProof/>
            <w:webHidden/>
          </w:rPr>
          <w:fldChar w:fldCharType="separate"/>
        </w:r>
        <w:r w:rsidR="00282E09">
          <w:rPr>
            <w:noProof/>
            <w:webHidden/>
          </w:rPr>
          <w:t>4</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48" w:history="1">
        <w:r w:rsidR="00282E09" w:rsidRPr="005B4337">
          <w:rPr>
            <w:rStyle w:val="Lienhypertexte"/>
            <w:bCs/>
            <w:noProof/>
          </w:rPr>
          <w:t>1.1.</w:t>
        </w:r>
        <w:r w:rsidR="00282E09">
          <w:rPr>
            <w:rFonts w:asciiTheme="minorHAnsi" w:eastAsiaTheme="minorEastAsia" w:hAnsiTheme="minorHAnsi"/>
            <w:noProof/>
            <w:lang w:eastAsia="fr-FR"/>
          </w:rPr>
          <w:tab/>
        </w:r>
        <w:r w:rsidR="00282E09" w:rsidRPr="005B4337">
          <w:rPr>
            <w:rStyle w:val="Lienhypertexte"/>
            <w:bCs/>
            <w:noProof/>
          </w:rPr>
          <w:t>Textes de référence</w:t>
        </w:r>
        <w:r w:rsidR="00282E09">
          <w:rPr>
            <w:noProof/>
            <w:webHidden/>
          </w:rPr>
          <w:tab/>
        </w:r>
        <w:r w:rsidR="00282E09">
          <w:rPr>
            <w:noProof/>
            <w:webHidden/>
          </w:rPr>
          <w:fldChar w:fldCharType="begin"/>
        </w:r>
        <w:r w:rsidR="00282E09">
          <w:rPr>
            <w:noProof/>
            <w:webHidden/>
          </w:rPr>
          <w:instrText xml:space="preserve"> PAGEREF _Toc452385948 \h </w:instrText>
        </w:r>
        <w:r w:rsidR="00282E09">
          <w:rPr>
            <w:noProof/>
            <w:webHidden/>
          </w:rPr>
        </w:r>
        <w:r w:rsidR="00282E09">
          <w:rPr>
            <w:noProof/>
            <w:webHidden/>
          </w:rPr>
          <w:fldChar w:fldCharType="separate"/>
        </w:r>
        <w:r w:rsidR="00282E09">
          <w:rPr>
            <w:noProof/>
            <w:webHidden/>
          </w:rPr>
          <w:t>4</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49" w:history="1">
        <w:r w:rsidR="00282E09" w:rsidRPr="005B4337">
          <w:rPr>
            <w:rStyle w:val="Lienhypertexte"/>
            <w:bCs/>
            <w:noProof/>
          </w:rPr>
          <w:t>1.2.</w:t>
        </w:r>
        <w:r w:rsidR="00282E09">
          <w:rPr>
            <w:rFonts w:asciiTheme="minorHAnsi" w:eastAsiaTheme="minorEastAsia" w:hAnsiTheme="minorHAnsi"/>
            <w:noProof/>
            <w:lang w:eastAsia="fr-FR"/>
          </w:rPr>
          <w:tab/>
        </w:r>
        <w:r w:rsidR="00282E09" w:rsidRPr="005B4337">
          <w:rPr>
            <w:rStyle w:val="Lienhypertexte"/>
            <w:bCs/>
            <w:noProof/>
          </w:rPr>
          <w:t>Descriptif de l’obligation ou de la spécificité pour l’émetteur</w:t>
        </w:r>
        <w:r w:rsidR="00282E09">
          <w:rPr>
            <w:noProof/>
            <w:webHidden/>
          </w:rPr>
          <w:tab/>
        </w:r>
        <w:r w:rsidR="00282E09">
          <w:rPr>
            <w:noProof/>
            <w:webHidden/>
          </w:rPr>
          <w:fldChar w:fldCharType="begin"/>
        </w:r>
        <w:r w:rsidR="00282E09">
          <w:rPr>
            <w:noProof/>
            <w:webHidden/>
          </w:rPr>
          <w:instrText xml:space="preserve"> PAGEREF _Toc452385949 \h </w:instrText>
        </w:r>
        <w:r w:rsidR="00282E09">
          <w:rPr>
            <w:noProof/>
            <w:webHidden/>
          </w:rPr>
        </w:r>
        <w:r w:rsidR="00282E09">
          <w:rPr>
            <w:noProof/>
            <w:webHidden/>
          </w:rPr>
          <w:fldChar w:fldCharType="separate"/>
        </w:r>
        <w:r w:rsidR="00282E09">
          <w:rPr>
            <w:noProof/>
            <w:webHidden/>
          </w:rPr>
          <w:t>4</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50" w:history="1">
        <w:r w:rsidR="00282E09" w:rsidRPr="005B4337">
          <w:rPr>
            <w:rStyle w:val="Lienhypertexte"/>
            <w:bCs/>
            <w:noProof/>
          </w:rPr>
          <w:t>1.3.</w:t>
        </w:r>
        <w:r w:rsidR="00282E09">
          <w:rPr>
            <w:rFonts w:asciiTheme="minorHAnsi" w:eastAsiaTheme="minorEastAsia" w:hAnsiTheme="minorHAnsi"/>
            <w:noProof/>
            <w:lang w:eastAsia="fr-FR"/>
          </w:rPr>
          <w:tab/>
        </w:r>
        <w:r w:rsidR="00282E09" w:rsidRPr="005B4337">
          <w:rPr>
            <w:rStyle w:val="Lienhypertexte"/>
            <w:bCs/>
            <w:noProof/>
          </w:rPr>
          <w:t>Descriptif de l’obligation ou de la spécificité pour le(s) commissaire(s) aux comptes / points pour attention</w:t>
        </w:r>
        <w:r w:rsidR="00282E09">
          <w:rPr>
            <w:noProof/>
            <w:webHidden/>
          </w:rPr>
          <w:tab/>
        </w:r>
        <w:r w:rsidR="00282E09">
          <w:rPr>
            <w:noProof/>
            <w:webHidden/>
          </w:rPr>
          <w:fldChar w:fldCharType="begin"/>
        </w:r>
        <w:r w:rsidR="00282E09">
          <w:rPr>
            <w:noProof/>
            <w:webHidden/>
          </w:rPr>
          <w:instrText xml:space="preserve"> PAGEREF _Toc452385950 \h </w:instrText>
        </w:r>
        <w:r w:rsidR="00282E09">
          <w:rPr>
            <w:noProof/>
            <w:webHidden/>
          </w:rPr>
        </w:r>
        <w:r w:rsidR="00282E09">
          <w:rPr>
            <w:noProof/>
            <w:webHidden/>
          </w:rPr>
          <w:fldChar w:fldCharType="separate"/>
        </w:r>
        <w:r w:rsidR="00282E09">
          <w:rPr>
            <w:noProof/>
            <w:webHidden/>
          </w:rPr>
          <w:t>4</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51" w:history="1">
        <w:r w:rsidR="00282E09" w:rsidRPr="005B4337">
          <w:rPr>
            <w:rStyle w:val="Lienhypertexte"/>
            <w:bCs/>
            <w:noProof/>
          </w:rPr>
          <w:t>1.4.</w:t>
        </w:r>
        <w:r w:rsidR="00282E09">
          <w:rPr>
            <w:rFonts w:asciiTheme="minorHAnsi" w:eastAsiaTheme="minorEastAsia" w:hAnsiTheme="minorHAnsi"/>
            <w:noProof/>
            <w:lang w:eastAsia="fr-FR"/>
          </w:rPr>
          <w:tab/>
        </w:r>
        <w:r w:rsidR="00282E09" w:rsidRPr="005B4337">
          <w:rPr>
            <w:rStyle w:val="Lienhypertexte"/>
            <w:bCs/>
            <w:noProof/>
          </w:rPr>
          <w:t>Outils disponibles</w:t>
        </w:r>
        <w:r w:rsidR="00282E09">
          <w:rPr>
            <w:noProof/>
            <w:webHidden/>
          </w:rPr>
          <w:tab/>
        </w:r>
        <w:r w:rsidR="00282E09">
          <w:rPr>
            <w:noProof/>
            <w:webHidden/>
          </w:rPr>
          <w:fldChar w:fldCharType="begin"/>
        </w:r>
        <w:r w:rsidR="00282E09">
          <w:rPr>
            <w:noProof/>
            <w:webHidden/>
          </w:rPr>
          <w:instrText xml:space="preserve"> PAGEREF _Toc452385951 \h </w:instrText>
        </w:r>
        <w:r w:rsidR="00282E09">
          <w:rPr>
            <w:noProof/>
            <w:webHidden/>
          </w:rPr>
        </w:r>
        <w:r w:rsidR="00282E09">
          <w:rPr>
            <w:noProof/>
            <w:webHidden/>
          </w:rPr>
          <w:fldChar w:fldCharType="separate"/>
        </w:r>
        <w:r w:rsidR="00282E09">
          <w:rPr>
            <w:noProof/>
            <w:webHidden/>
          </w:rPr>
          <w:t>5</w:t>
        </w:r>
        <w:r w:rsidR="00282E09">
          <w:rPr>
            <w:noProof/>
            <w:webHidden/>
          </w:rPr>
          <w:fldChar w:fldCharType="end"/>
        </w:r>
      </w:hyperlink>
    </w:p>
    <w:p w:rsidR="00282E09" w:rsidRDefault="00AF58A5">
      <w:pPr>
        <w:pStyle w:val="TM2"/>
        <w:tabs>
          <w:tab w:val="left" w:pos="660"/>
          <w:tab w:val="right" w:leader="dot" w:pos="9060"/>
        </w:tabs>
        <w:rPr>
          <w:rFonts w:asciiTheme="minorHAnsi" w:eastAsiaTheme="minorEastAsia" w:hAnsiTheme="minorHAnsi"/>
          <w:noProof/>
          <w:lang w:eastAsia="fr-FR"/>
        </w:rPr>
      </w:pPr>
      <w:hyperlink w:anchor="_Toc452385952" w:history="1">
        <w:r w:rsidR="00282E09" w:rsidRPr="005B4337">
          <w:rPr>
            <w:rStyle w:val="Lienhypertexte"/>
            <w:bCs/>
            <w:noProof/>
          </w:rPr>
          <w:t>2.</w:t>
        </w:r>
        <w:r w:rsidR="00282E09">
          <w:rPr>
            <w:rFonts w:asciiTheme="minorHAnsi" w:eastAsiaTheme="minorEastAsia" w:hAnsiTheme="minorHAnsi"/>
            <w:noProof/>
            <w:lang w:eastAsia="fr-FR"/>
          </w:rPr>
          <w:tab/>
        </w:r>
        <w:r w:rsidR="00282E09" w:rsidRPr="005B4337">
          <w:rPr>
            <w:rStyle w:val="Lienhypertexte"/>
            <w:bCs/>
            <w:noProof/>
          </w:rPr>
          <w:t>RELATIONS AVEC LE H3C - COTISATION ADDITIONNELLE DE 0,68 % DES HONORAIRES DES MANDATS EIP</w:t>
        </w:r>
        <w:r w:rsidR="00282E09">
          <w:rPr>
            <w:noProof/>
            <w:webHidden/>
          </w:rPr>
          <w:tab/>
        </w:r>
        <w:r w:rsidR="00282E09">
          <w:rPr>
            <w:noProof/>
            <w:webHidden/>
          </w:rPr>
          <w:fldChar w:fldCharType="begin"/>
        </w:r>
        <w:r w:rsidR="00282E09">
          <w:rPr>
            <w:noProof/>
            <w:webHidden/>
          </w:rPr>
          <w:instrText xml:space="preserve"> PAGEREF _Toc452385952 \h </w:instrText>
        </w:r>
        <w:r w:rsidR="00282E09">
          <w:rPr>
            <w:noProof/>
            <w:webHidden/>
          </w:rPr>
        </w:r>
        <w:r w:rsidR="00282E09">
          <w:rPr>
            <w:noProof/>
            <w:webHidden/>
          </w:rPr>
          <w:fldChar w:fldCharType="separate"/>
        </w:r>
        <w:r w:rsidR="00282E09">
          <w:rPr>
            <w:noProof/>
            <w:webHidden/>
          </w:rPr>
          <w:t>5</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53" w:history="1">
        <w:r w:rsidR="00282E09" w:rsidRPr="005B4337">
          <w:rPr>
            <w:rStyle w:val="Lienhypertexte"/>
            <w:bCs/>
            <w:noProof/>
          </w:rPr>
          <w:t>2.1.</w:t>
        </w:r>
        <w:r w:rsidR="00282E09">
          <w:rPr>
            <w:rFonts w:asciiTheme="minorHAnsi" w:eastAsiaTheme="minorEastAsia" w:hAnsiTheme="minorHAnsi"/>
            <w:noProof/>
            <w:lang w:eastAsia="fr-FR"/>
          </w:rPr>
          <w:tab/>
        </w:r>
        <w:r w:rsidR="00282E09" w:rsidRPr="005B4337">
          <w:rPr>
            <w:rStyle w:val="Lienhypertexte"/>
            <w:bCs/>
            <w:noProof/>
          </w:rPr>
          <w:t>Textes de référence</w:t>
        </w:r>
        <w:r w:rsidR="00282E09">
          <w:rPr>
            <w:noProof/>
            <w:webHidden/>
          </w:rPr>
          <w:tab/>
        </w:r>
        <w:r w:rsidR="00282E09">
          <w:rPr>
            <w:noProof/>
            <w:webHidden/>
          </w:rPr>
          <w:fldChar w:fldCharType="begin"/>
        </w:r>
        <w:r w:rsidR="00282E09">
          <w:rPr>
            <w:noProof/>
            <w:webHidden/>
          </w:rPr>
          <w:instrText xml:space="preserve"> PAGEREF _Toc452385953 \h </w:instrText>
        </w:r>
        <w:r w:rsidR="00282E09">
          <w:rPr>
            <w:noProof/>
            <w:webHidden/>
          </w:rPr>
        </w:r>
        <w:r w:rsidR="00282E09">
          <w:rPr>
            <w:noProof/>
            <w:webHidden/>
          </w:rPr>
          <w:fldChar w:fldCharType="separate"/>
        </w:r>
        <w:r w:rsidR="00282E09">
          <w:rPr>
            <w:noProof/>
            <w:webHidden/>
          </w:rPr>
          <w:t>5</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54" w:history="1">
        <w:r w:rsidR="00282E09" w:rsidRPr="005B4337">
          <w:rPr>
            <w:rStyle w:val="Lienhypertexte"/>
            <w:bCs/>
            <w:noProof/>
          </w:rPr>
          <w:t>2.2.</w:t>
        </w:r>
        <w:r w:rsidR="00282E09">
          <w:rPr>
            <w:rFonts w:asciiTheme="minorHAnsi" w:eastAsiaTheme="minorEastAsia" w:hAnsiTheme="minorHAnsi"/>
            <w:noProof/>
            <w:lang w:eastAsia="fr-FR"/>
          </w:rPr>
          <w:tab/>
        </w:r>
        <w:r w:rsidR="00282E09" w:rsidRPr="005B4337">
          <w:rPr>
            <w:rStyle w:val="Lienhypertexte"/>
            <w:bCs/>
            <w:noProof/>
          </w:rPr>
          <w:t>Descriptif de l’obligation ou de la spécificité pour l’émetteur</w:t>
        </w:r>
        <w:r w:rsidR="00282E09">
          <w:rPr>
            <w:noProof/>
            <w:webHidden/>
          </w:rPr>
          <w:tab/>
        </w:r>
        <w:r w:rsidR="00282E09">
          <w:rPr>
            <w:noProof/>
            <w:webHidden/>
          </w:rPr>
          <w:fldChar w:fldCharType="begin"/>
        </w:r>
        <w:r w:rsidR="00282E09">
          <w:rPr>
            <w:noProof/>
            <w:webHidden/>
          </w:rPr>
          <w:instrText xml:space="preserve"> PAGEREF _Toc452385954 \h </w:instrText>
        </w:r>
        <w:r w:rsidR="00282E09">
          <w:rPr>
            <w:noProof/>
            <w:webHidden/>
          </w:rPr>
        </w:r>
        <w:r w:rsidR="00282E09">
          <w:rPr>
            <w:noProof/>
            <w:webHidden/>
          </w:rPr>
          <w:fldChar w:fldCharType="separate"/>
        </w:r>
        <w:r w:rsidR="00282E09">
          <w:rPr>
            <w:noProof/>
            <w:webHidden/>
          </w:rPr>
          <w:t>6</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55" w:history="1">
        <w:r w:rsidR="00282E09" w:rsidRPr="005B4337">
          <w:rPr>
            <w:rStyle w:val="Lienhypertexte"/>
            <w:bCs/>
            <w:noProof/>
          </w:rPr>
          <w:t>2.3.</w:t>
        </w:r>
        <w:r w:rsidR="00282E09">
          <w:rPr>
            <w:rFonts w:asciiTheme="minorHAnsi" w:eastAsiaTheme="minorEastAsia" w:hAnsiTheme="minorHAnsi"/>
            <w:noProof/>
            <w:lang w:eastAsia="fr-FR"/>
          </w:rPr>
          <w:tab/>
        </w:r>
        <w:r w:rsidR="00282E09" w:rsidRPr="005B4337">
          <w:rPr>
            <w:rStyle w:val="Lienhypertexte"/>
            <w:bCs/>
            <w:noProof/>
          </w:rPr>
          <w:t>Descriptif de l’obligation ou de la spécificité pour le(s) commissaire(s) aux comptes / points pour attention</w:t>
        </w:r>
        <w:r w:rsidR="00282E09">
          <w:rPr>
            <w:noProof/>
            <w:webHidden/>
          </w:rPr>
          <w:tab/>
        </w:r>
        <w:r w:rsidR="00282E09">
          <w:rPr>
            <w:noProof/>
            <w:webHidden/>
          </w:rPr>
          <w:fldChar w:fldCharType="begin"/>
        </w:r>
        <w:r w:rsidR="00282E09">
          <w:rPr>
            <w:noProof/>
            <w:webHidden/>
          </w:rPr>
          <w:instrText xml:space="preserve"> PAGEREF _Toc452385955 \h </w:instrText>
        </w:r>
        <w:r w:rsidR="00282E09">
          <w:rPr>
            <w:noProof/>
            <w:webHidden/>
          </w:rPr>
        </w:r>
        <w:r w:rsidR="00282E09">
          <w:rPr>
            <w:noProof/>
            <w:webHidden/>
          </w:rPr>
          <w:fldChar w:fldCharType="separate"/>
        </w:r>
        <w:r w:rsidR="00282E09">
          <w:rPr>
            <w:noProof/>
            <w:webHidden/>
          </w:rPr>
          <w:t>6</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56" w:history="1">
        <w:r w:rsidR="00282E09" w:rsidRPr="005B4337">
          <w:rPr>
            <w:rStyle w:val="Lienhypertexte"/>
            <w:bCs/>
            <w:noProof/>
          </w:rPr>
          <w:t>2.4.</w:t>
        </w:r>
        <w:r w:rsidR="00282E09">
          <w:rPr>
            <w:rFonts w:asciiTheme="minorHAnsi" w:eastAsiaTheme="minorEastAsia" w:hAnsiTheme="minorHAnsi"/>
            <w:noProof/>
            <w:lang w:eastAsia="fr-FR"/>
          </w:rPr>
          <w:tab/>
        </w:r>
        <w:r w:rsidR="00282E09" w:rsidRPr="005B4337">
          <w:rPr>
            <w:rStyle w:val="Lienhypertexte"/>
            <w:bCs/>
            <w:noProof/>
          </w:rPr>
          <w:t>Outils disponibles</w:t>
        </w:r>
        <w:r w:rsidR="00282E09">
          <w:rPr>
            <w:noProof/>
            <w:webHidden/>
          </w:rPr>
          <w:tab/>
        </w:r>
        <w:r w:rsidR="00282E09">
          <w:rPr>
            <w:noProof/>
            <w:webHidden/>
          </w:rPr>
          <w:fldChar w:fldCharType="begin"/>
        </w:r>
        <w:r w:rsidR="00282E09">
          <w:rPr>
            <w:noProof/>
            <w:webHidden/>
          </w:rPr>
          <w:instrText xml:space="preserve"> PAGEREF _Toc452385956 \h </w:instrText>
        </w:r>
        <w:r w:rsidR="00282E09">
          <w:rPr>
            <w:noProof/>
            <w:webHidden/>
          </w:rPr>
        </w:r>
        <w:r w:rsidR="00282E09">
          <w:rPr>
            <w:noProof/>
            <w:webHidden/>
          </w:rPr>
          <w:fldChar w:fldCharType="separate"/>
        </w:r>
        <w:r w:rsidR="00282E09">
          <w:rPr>
            <w:noProof/>
            <w:webHidden/>
          </w:rPr>
          <w:t>7</w:t>
        </w:r>
        <w:r w:rsidR="00282E09">
          <w:rPr>
            <w:noProof/>
            <w:webHidden/>
          </w:rPr>
          <w:fldChar w:fldCharType="end"/>
        </w:r>
      </w:hyperlink>
    </w:p>
    <w:p w:rsidR="00282E09" w:rsidRDefault="00AF58A5">
      <w:pPr>
        <w:pStyle w:val="TM2"/>
        <w:tabs>
          <w:tab w:val="left" w:pos="660"/>
          <w:tab w:val="right" w:leader="dot" w:pos="9060"/>
        </w:tabs>
        <w:rPr>
          <w:rFonts w:asciiTheme="minorHAnsi" w:eastAsiaTheme="minorEastAsia" w:hAnsiTheme="minorHAnsi"/>
          <w:noProof/>
          <w:lang w:eastAsia="fr-FR"/>
        </w:rPr>
      </w:pPr>
      <w:hyperlink w:anchor="_Toc452385957" w:history="1">
        <w:r w:rsidR="00282E09" w:rsidRPr="005B4337">
          <w:rPr>
            <w:rStyle w:val="Lienhypertexte"/>
            <w:noProof/>
          </w:rPr>
          <w:t>3.</w:t>
        </w:r>
        <w:r w:rsidR="00282E09">
          <w:rPr>
            <w:rFonts w:asciiTheme="minorHAnsi" w:eastAsiaTheme="minorEastAsia" w:hAnsiTheme="minorHAnsi"/>
            <w:noProof/>
            <w:lang w:eastAsia="fr-FR"/>
          </w:rPr>
          <w:tab/>
        </w:r>
        <w:r w:rsidR="00282E09" w:rsidRPr="005B4337">
          <w:rPr>
            <w:rStyle w:val="Lienhypertexte"/>
            <w:noProof/>
          </w:rPr>
          <w:t>RELATIONS AVEC L’AMF</w:t>
        </w:r>
        <w:r w:rsidR="00282E09">
          <w:rPr>
            <w:noProof/>
            <w:webHidden/>
          </w:rPr>
          <w:tab/>
        </w:r>
        <w:r w:rsidR="00282E09">
          <w:rPr>
            <w:noProof/>
            <w:webHidden/>
          </w:rPr>
          <w:fldChar w:fldCharType="begin"/>
        </w:r>
        <w:r w:rsidR="00282E09">
          <w:rPr>
            <w:noProof/>
            <w:webHidden/>
          </w:rPr>
          <w:instrText xml:space="preserve"> PAGEREF _Toc452385957 \h </w:instrText>
        </w:r>
        <w:r w:rsidR="00282E09">
          <w:rPr>
            <w:noProof/>
            <w:webHidden/>
          </w:rPr>
        </w:r>
        <w:r w:rsidR="00282E09">
          <w:rPr>
            <w:noProof/>
            <w:webHidden/>
          </w:rPr>
          <w:fldChar w:fldCharType="separate"/>
        </w:r>
        <w:r w:rsidR="00282E09">
          <w:rPr>
            <w:noProof/>
            <w:webHidden/>
          </w:rPr>
          <w:t>7</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58" w:history="1">
        <w:r w:rsidR="00282E09" w:rsidRPr="005B4337">
          <w:rPr>
            <w:rStyle w:val="Lienhypertexte"/>
            <w:bCs/>
            <w:noProof/>
          </w:rPr>
          <w:t>3.1.</w:t>
        </w:r>
        <w:r w:rsidR="00282E09">
          <w:rPr>
            <w:rFonts w:asciiTheme="minorHAnsi" w:eastAsiaTheme="minorEastAsia" w:hAnsiTheme="minorHAnsi"/>
            <w:noProof/>
            <w:lang w:eastAsia="fr-FR"/>
          </w:rPr>
          <w:tab/>
        </w:r>
        <w:r w:rsidR="00282E09" w:rsidRPr="005B4337">
          <w:rPr>
            <w:rStyle w:val="Lienhypertexte"/>
            <w:noProof/>
          </w:rPr>
          <w:t>Textes</w:t>
        </w:r>
        <w:r w:rsidR="00282E09" w:rsidRPr="005B4337">
          <w:rPr>
            <w:rStyle w:val="Lienhypertexte"/>
            <w:bCs/>
            <w:noProof/>
          </w:rPr>
          <w:t xml:space="preserve"> de référence</w:t>
        </w:r>
        <w:r w:rsidR="00282E09">
          <w:rPr>
            <w:noProof/>
            <w:webHidden/>
          </w:rPr>
          <w:tab/>
        </w:r>
        <w:r w:rsidR="00282E09">
          <w:rPr>
            <w:noProof/>
            <w:webHidden/>
          </w:rPr>
          <w:fldChar w:fldCharType="begin"/>
        </w:r>
        <w:r w:rsidR="00282E09">
          <w:rPr>
            <w:noProof/>
            <w:webHidden/>
          </w:rPr>
          <w:instrText xml:space="preserve"> PAGEREF _Toc452385958 \h </w:instrText>
        </w:r>
        <w:r w:rsidR="00282E09">
          <w:rPr>
            <w:noProof/>
            <w:webHidden/>
          </w:rPr>
        </w:r>
        <w:r w:rsidR="00282E09">
          <w:rPr>
            <w:noProof/>
            <w:webHidden/>
          </w:rPr>
          <w:fldChar w:fldCharType="separate"/>
        </w:r>
        <w:r w:rsidR="00282E09">
          <w:rPr>
            <w:noProof/>
            <w:webHidden/>
          </w:rPr>
          <w:t>7</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59" w:history="1">
        <w:r w:rsidR="00282E09" w:rsidRPr="005B4337">
          <w:rPr>
            <w:rStyle w:val="Lienhypertexte"/>
            <w:bCs/>
            <w:noProof/>
          </w:rPr>
          <w:t>3.2.</w:t>
        </w:r>
        <w:r w:rsidR="00282E09">
          <w:rPr>
            <w:rFonts w:asciiTheme="minorHAnsi" w:eastAsiaTheme="minorEastAsia" w:hAnsiTheme="minorHAnsi"/>
            <w:noProof/>
            <w:lang w:eastAsia="fr-FR"/>
          </w:rPr>
          <w:tab/>
        </w:r>
        <w:r w:rsidR="00282E09" w:rsidRPr="005B4337">
          <w:rPr>
            <w:rStyle w:val="Lienhypertexte"/>
            <w:bCs/>
            <w:noProof/>
          </w:rPr>
          <w:t>Descriptif de l’obligation ou de la spécificité pour l’émetteur</w:t>
        </w:r>
        <w:r w:rsidR="00282E09">
          <w:rPr>
            <w:noProof/>
            <w:webHidden/>
          </w:rPr>
          <w:tab/>
        </w:r>
        <w:r w:rsidR="00282E09">
          <w:rPr>
            <w:noProof/>
            <w:webHidden/>
          </w:rPr>
          <w:fldChar w:fldCharType="begin"/>
        </w:r>
        <w:r w:rsidR="00282E09">
          <w:rPr>
            <w:noProof/>
            <w:webHidden/>
          </w:rPr>
          <w:instrText xml:space="preserve"> PAGEREF _Toc452385959 \h </w:instrText>
        </w:r>
        <w:r w:rsidR="00282E09">
          <w:rPr>
            <w:noProof/>
            <w:webHidden/>
          </w:rPr>
        </w:r>
        <w:r w:rsidR="00282E09">
          <w:rPr>
            <w:noProof/>
            <w:webHidden/>
          </w:rPr>
          <w:fldChar w:fldCharType="separate"/>
        </w:r>
        <w:r w:rsidR="00282E09">
          <w:rPr>
            <w:noProof/>
            <w:webHidden/>
          </w:rPr>
          <w:t>7</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60" w:history="1">
        <w:r w:rsidR="00282E09" w:rsidRPr="005B4337">
          <w:rPr>
            <w:rStyle w:val="Lienhypertexte"/>
            <w:bCs/>
            <w:noProof/>
          </w:rPr>
          <w:t>3.3.</w:t>
        </w:r>
        <w:r w:rsidR="00282E09">
          <w:rPr>
            <w:rFonts w:asciiTheme="minorHAnsi" w:eastAsiaTheme="minorEastAsia" w:hAnsiTheme="minorHAnsi"/>
            <w:noProof/>
            <w:lang w:eastAsia="fr-FR"/>
          </w:rPr>
          <w:tab/>
        </w:r>
        <w:r w:rsidR="00282E09" w:rsidRPr="005B4337">
          <w:rPr>
            <w:rStyle w:val="Lienhypertexte"/>
            <w:bCs/>
            <w:noProof/>
          </w:rPr>
          <w:t>Descriptif de l’obligation ou de la spécificité pour le(s) commissaire(s) aux comptes / points pour attention</w:t>
        </w:r>
        <w:r w:rsidR="00282E09">
          <w:rPr>
            <w:noProof/>
            <w:webHidden/>
          </w:rPr>
          <w:tab/>
        </w:r>
        <w:r w:rsidR="00282E09">
          <w:rPr>
            <w:noProof/>
            <w:webHidden/>
          </w:rPr>
          <w:fldChar w:fldCharType="begin"/>
        </w:r>
        <w:r w:rsidR="00282E09">
          <w:rPr>
            <w:noProof/>
            <w:webHidden/>
          </w:rPr>
          <w:instrText xml:space="preserve"> PAGEREF _Toc452385960 \h </w:instrText>
        </w:r>
        <w:r w:rsidR="00282E09">
          <w:rPr>
            <w:noProof/>
            <w:webHidden/>
          </w:rPr>
        </w:r>
        <w:r w:rsidR="00282E09">
          <w:rPr>
            <w:noProof/>
            <w:webHidden/>
          </w:rPr>
          <w:fldChar w:fldCharType="separate"/>
        </w:r>
        <w:r w:rsidR="00282E09">
          <w:rPr>
            <w:noProof/>
            <w:webHidden/>
          </w:rPr>
          <w:t>7</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61" w:history="1">
        <w:r w:rsidR="00282E09" w:rsidRPr="005B4337">
          <w:rPr>
            <w:rStyle w:val="Lienhypertexte"/>
            <w:bCs/>
            <w:noProof/>
          </w:rPr>
          <w:t>3.4.</w:t>
        </w:r>
        <w:r w:rsidR="00282E09">
          <w:rPr>
            <w:rFonts w:asciiTheme="minorHAnsi" w:eastAsiaTheme="minorEastAsia" w:hAnsiTheme="minorHAnsi"/>
            <w:noProof/>
            <w:lang w:eastAsia="fr-FR"/>
          </w:rPr>
          <w:tab/>
        </w:r>
        <w:r w:rsidR="00282E09" w:rsidRPr="005B4337">
          <w:rPr>
            <w:rStyle w:val="Lienhypertexte"/>
            <w:bCs/>
            <w:noProof/>
          </w:rPr>
          <w:t>Outils disponibles</w:t>
        </w:r>
        <w:r w:rsidR="00282E09">
          <w:rPr>
            <w:noProof/>
            <w:webHidden/>
          </w:rPr>
          <w:tab/>
        </w:r>
        <w:r w:rsidR="00282E09">
          <w:rPr>
            <w:noProof/>
            <w:webHidden/>
          </w:rPr>
          <w:fldChar w:fldCharType="begin"/>
        </w:r>
        <w:r w:rsidR="00282E09">
          <w:rPr>
            <w:noProof/>
            <w:webHidden/>
          </w:rPr>
          <w:instrText xml:space="preserve"> PAGEREF _Toc452385961 \h </w:instrText>
        </w:r>
        <w:r w:rsidR="00282E09">
          <w:rPr>
            <w:noProof/>
            <w:webHidden/>
          </w:rPr>
        </w:r>
        <w:r w:rsidR="00282E09">
          <w:rPr>
            <w:noProof/>
            <w:webHidden/>
          </w:rPr>
          <w:fldChar w:fldCharType="separate"/>
        </w:r>
        <w:r w:rsidR="00282E09">
          <w:rPr>
            <w:noProof/>
            <w:webHidden/>
          </w:rPr>
          <w:t>9</w:t>
        </w:r>
        <w:r w:rsidR="00282E09">
          <w:rPr>
            <w:noProof/>
            <w:webHidden/>
          </w:rPr>
          <w:fldChar w:fldCharType="end"/>
        </w:r>
      </w:hyperlink>
    </w:p>
    <w:p w:rsidR="00282E09" w:rsidRDefault="00AF58A5">
      <w:pPr>
        <w:pStyle w:val="TM1"/>
        <w:rPr>
          <w:rFonts w:eastAsiaTheme="minorEastAsia"/>
          <w:b w:val="0"/>
          <w:color w:val="auto"/>
          <w:sz w:val="22"/>
          <w:lang w:eastAsia="fr-FR"/>
        </w:rPr>
      </w:pPr>
      <w:hyperlink w:anchor="_Toc452385962" w:history="1">
        <w:r w:rsidR="00282E09" w:rsidRPr="005B4337">
          <w:rPr>
            <w:rStyle w:val="Lienhypertexte"/>
          </w:rPr>
          <w:t>Section 200.</w:t>
        </w:r>
        <w:r w:rsidR="00282E09">
          <w:rPr>
            <w:rFonts w:eastAsiaTheme="minorEastAsia"/>
            <w:b w:val="0"/>
            <w:color w:val="auto"/>
            <w:sz w:val="22"/>
            <w:lang w:eastAsia="fr-FR"/>
          </w:rPr>
          <w:tab/>
        </w:r>
        <w:r w:rsidR="00282E09" w:rsidRPr="005B4337">
          <w:rPr>
            <w:rStyle w:val="Lienhypertexte"/>
          </w:rPr>
          <w:t>RELATIONS AVEC L’ENTITE</w:t>
        </w:r>
        <w:r w:rsidR="00282E09">
          <w:rPr>
            <w:webHidden/>
          </w:rPr>
          <w:tab/>
        </w:r>
        <w:r w:rsidR="00282E09">
          <w:rPr>
            <w:webHidden/>
          </w:rPr>
          <w:fldChar w:fldCharType="begin"/>
        </w:r>
        <w:r w:rsidR="00282E09">
          <w:rPr>
            <w:webHidden/>
          </w:rPr>
          <w:instrText xml:space="preserve"> PAGEREF _Toc452385962 \h </w:instrText>
        </w:r>
        <w:r w:rsidR="00282E09">
          <w:rPr>
            <w:webHidden/>
          </w:rPr>
        </w:r>
        <w:r w:rsidR="00282E09">
          <w:rPr>
            <w:webHidden/>
          </w:rPr>
          <w:fldChar w:fldCharType="separate"/>
        </w:r>
        <w:r w:rsidR="00282E09">
          <w:rPr>
            <w:webHidden/>
          </w:rPr>
          <w:t>9</w:t>
        </w:r>
        <w:r w:rsidR="00282E09">
          <w:rPr>
            <w:webHidden/>
          </w:rPr>
          <w:fldChar w:fldCharType="end"/>
        </w:r>
      </w:hyperlink>
    </w:p>
    <w:p w:rsidR="00282E09" w:rsidRDefault="00AF58A5">
      <w:pPr>
        <w:pStyle w:val="TM2"/>
        <w:tabs>
          <w:tab w:val="left" w:pos="660"/>
          <w:tab w:val="right" w:leader="dot" w:pos="9060"/>
        </w:tabs>
        <w:rPr>
          <w:rFonts w:asciiTheme="minorHAnsi" w:eastAsiaTheme="minorEastAsia" w:hAnsiTheme="minorHAnsi"/>
          <w:noProof/>
          <w:lang w:eastAsia="fr-FR"/>
        </w:rPr>
      </w:pPr>
      <w:hyperlink w:anchor="_Toc452385963" w:history="1">
        <w:r w:rsidR="00282E09" w:rsidRPr="005B4337">
          <w:rPr>
            <w:rStyle w:val="Lienhypertexte"/>
            <w:noProof/>
          </w:rPr>
          <w:t>1.</w:t>
        </w:r>
        <w:r w:rsidR="00282E09">
          <w:rPr>
            <w:rFonts w:asciiTheme="minorHAnsi" w:eastAsiaTheme="minorEastAsia" w:hAnsiTheme="minorHAnsi"/>
            <w:noProof/>
            <w:lang w:eastAsia="fr-FR"/>
          </w:rPr>
          <w:tab/>
        </w:r>
        <w:r w:rsidR="00282E09" w:rsidRPr="005B4337">
          <w:rPr>
            <w:rStyle w:val="Lienhypertexte"/>
            <w:noProof/>
          </w:rPr>
          <w:t>INDEPENDANCE ET RELATIONS AVEC LE COMITE SPECIALISE (COMITE D’AUDIT)</w:t>
        </w:r>
        <w:r w:rsidR="00282E09">
          <w:rPr>
            <w:noProof/>
            <w:webHidden/>
          </w:rPr>
          <w:tab/>
        </w:r>
        <w:r w:rsidR="00282E09">
          <w:rPr>
            <w:noProof/>
            <w:webHidden/>
          </w:rPr>
          <w:fldChar w:fldCharType="begin"/>
        </w:r>
        <w:r w:rsidR="00282E09">
          <w:rPr>
            <w:noProof/>
            <w:webHidden/>
          </w:rPr>
          <w:instrText xml:space="preserve"> PAGEREF _Toc452385963 \h </w:instrText>
        </w:r>
        <w:r w:rsidR="00282E09">
          <w:rPr>
            <w:noProof/>
            <w:webHidden/>
          </w:rPr>
        </w:r>
        <w:r w:rsidR="00282E09">
          <w:rPr>
            <w:noProof/>
            <w:webHidden/>
          </w:rPr>
          <w:fldChar w:fldCharType="separate"/>
        </w:r>
        <w:r w:rsidR="00282E09">
          <w:rPr>
            <w:noProof/>
            <w:webHidden/>
          </w:rPr>
          <w:t>9</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64" w:history="1">
        <w:r w:rsidR="00282E09" w:rsidRPr="005B4337">
          <w:rPr>
            <w:rStyle w:val="Lienhypertexte"/>
            <w:bCs/>
            <w:noProof/>
          </w:rPr>
          <w:t>1.1.</w:t>
        </w:r>
        <w:r w:rsidR="00282E09">
          <w:rPr>
            <w:rFonts w:asciiTheme="minorHAnsi" w:eastAsiaTheme="minorEastAsia" w:hAnsiTheme="minorHAnsi"/>
            <w:noProof/>
            <w:lang w:eastAsia="fr-FR"/>
          </w:rPr>
          <w:tab/>
        </w:r>
        <w:r w:rsidR="00282E09" w:rsidRPr="005B4337">
          <w:rPr>
            <w:rStyle w:val="Lienhypertexte"/>
            <w:bCs/>
            <w:noProof/>
          </w:rPr>
          <w:t>Textes de référence</w:t>
        </w:r>
        <w:r w:rsidR="00282E09">
          <w:rPr>
            <w:noProof/>
            <w:webHidden/>
          </w:rPr>
          <w:tab/>
        </w:r>
        <w:r w:rsidR="00282E09">
          <w:rPr>
            <w:noProof/>
            <w:webHidden/>
          </w:rPr>
          <w:fldChar w:fldCharType="begin"/>
        </w:r>
        <w:r w:rsidR="00282E09">
          <w:rPr>
            <w:noProof/>
            <w:webHidden/>
          </w:rPr>
          <w:instrText xml:space="preserve"> PAGEREF _Toc452385964 \h </w:instrText>
        </w:r>
        <w:r w:rsidR="00282E09">
          <w:rPr>
            <w:noProof/>
            <w:webHidden/>
          </w:rPr>
        </w:r>
        <w:r w:rsidR="00282E09">
          <w:rPr>
            <w:noProof/>
            <w:webHidden/>
          </w:rPr>
          <w:fldChar w:fldCharType="separate"/>
        </w:r>
        <w:r w:rsidR="00282E09">
          <w:rPr>
            <w:noProof/>
            <w:webHidden/>
          </w:rPr>
          <w:t>9</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65" w:history="1">
        <w:r w:rsidR="00282E09" w:rsidRPr="005B4337">
          <w:rPr>
            <w:rStyle w:val="Lienhypertexte"/>
            <w:bCs/>
            <w:noProof/>
          </w:rPr>
          <w:t>1.2.</w:t>
        </w:r>
        <w:r w:rsidR="00282E09">
          <w:rPr>
            <w:rFonts w:asciiTheme="minorHAnsi" w:eastAsiaTheme="minorEastAsia" w:hAnsiTheme="minorHAnsi"/>
            <w:noProof/>
            <w:lang w:eastAsia="fr-FR"/>
          </w:rPr>
          <w:tab/>
        </w:r>
        <w:r w:rsidR="00282E09" w:rsidRPr="005B4337">
          <w:rPr>
            <w:rStyle w:val="Lienhypertexte"/>
            <w:bCs/>
            <w:noProof/>
          </w:rPr>
          <w:t>Descriptif de l’obligation ou de la spécificité pour l’émetteur</w:t>
        </w:r>
        <w:r w:rsidR="00282E09">
          <w:rPr>
            <w:noProof/>
            <w:webHidden/>
          </w:rPr>
          <w:tab/>
        </w:r>
        <w:r w:rsidR="00282E09">
          <w:rPr>
            <w:noProof/>
            <w:webHidden/>
          </w:rPr>
          <w:fldChar w:fldCharType="begin"/>
        </w:r>
        <w:r w:rsidR="00282E09">
          <w:rPr>
            <w:noProof/>
            <w:webHidden/>
          </w:rPr>
          <w:instrText xml:space="preserve"> PAGEREF _Toc452385965 \h </w:instrText>
        </w:r>
        <w:r w:rsidR="00282E09">
          <w:rPr>
            <w:noProof/>
            <w:webHidden/>
          </w:rPr>
        </w:r>
        <w:r w:rsidR="00282E09">
          <w:rPr>
            <w:noProof/>
            <w:webHidden/>
          </w:rPr>
          <w:fldChar w:fldCharType="separate"/>
        </w:r>
        <w:r w:rsidR="00282E09">
          <w:rPr>
            <w:noProof/>
            <w:webHidden/>
          </w:rPr>
          <w:t>9</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66" w:history="1">
        <w:r w:rsidR="00282E09" w:rsidRPr="005B4337">
          <w:rPr>
            <w:rStyle w:val="Lienhypertexte"/>
            <w:bCs/>
            <w:noProof/>
          </w:rPr>
          <w:t>1.3.</w:t>
        </w:r>
        <w:r w:rsidR="00282E09">
          <w:rPr>
            <w:rFonts w:asciiTheme="minorHAnsi" w:eastAsiaTheme="minorEastAsia" w:hAnsiTheme="minorHAnsi"/>
            <w:noProof/>
            <w:lang w:eastAsia="fr-FR"/>
          </w:rPr>
          <w:tab/>
        </w:r>
        <w:r w:rsidR="00282E09" w:rsidRPr="005B4337">
          <w:rPr>
            <w:rStyle w:val="Lienhypertexte"/>
            <w:bCs/>
            <w:noProof/>
          </w:rPr>
          <w:t>Descriptif de l’obligation ou de la spécificité pour le(s) commissaire(s) aux comptes / points pour attention</w:t>
        </w:r>
        <w:r w:rsidR="00282E09">
          <w:rPr>
            <w:noProof/>
            <w:webHidden/>
          </w:rPr>
          <w:tab/>
        </w:r>
        <w:r w:rsidR="00282E09">
          <w:rPr>
            <w:noProof/>
            <w:webHidden/>
          </w:rPr>
          <w:fldChar w:fldCharType="begin"/>
        </w:r>
        <w:r w:rsidR="00282E09">
          <w:rPr>
            <w:noProof/>
            <w:webHidden/>
          </w:rPr>
          <w:instrText xml:space="preserve"> PAGEREF _Toc452385966 \h </w:instrText>
        </w:r>
        <w:r w:rsidR="00282E09">
          <w:rPr>
            <w:noProof/>
            <w:webHidden/>
          </w:rPr>
        </w:r>
        <w:r w:rsidR="00282E09">
          <w:rPr>
            <w:noProof/>
            <w:webHidden/>
          </w:rPr>
          <w:fldChar w:fldCharType="separate"/>
        </w:r>
        <w:r w:rsidR="00282E09">
          <w:rPr>
            <w:noProof/>
            <w:webHidden/>
          </w:rPr>
          <w:t>9</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67" w:history="1">
        <w:r w:rsidR="00282E09" w:rsidRPr="005B4337">
          <w:rPr>
            <w:rStyle w:val="Lienhypertexte"/>
            <w:bCs/>
            <w:noProof/>
          </w:rPr>
          <w:t>1.4.</w:t>
        </w:r>
        <w:r w:rsidR="00282E09">
          <w:rPr>
            <w:rFonts w:asciiTheme="minorHAnsi" w:eastAsiaTheme="minorEastAsia" w:hAnsiTheme="minorHAnsi"/>
            <w:noProof/>
            <w:lang w:eastAsia="fr-FR"/>
          </w:rPr>
          <w:tab/>
        </w:r>
        <w:r w:rsidR="00282E09" w:rsidRPr="005B4337">
          <w:rPr>
            <w:rStyle w:val="Lienhypertexte"/>
            <w:bCs/>
            <w:noProof/>
          </w:rPr>
          <w:t>Outils disponibles</w:t>
        </w:r>
        <w:r w:rsidR="00282E09">
          <w:rPr>
            <w:noProof/>
            <w:webHidden/>
          </w:rPr>
          <w:tab/>
        </w:r>
        <w:r w:rsidR="00282E09">
          <w:rPr>
            <w:noProof/>
            <w:webHidden/>
          </w:rPr>
          <w:fldChar w:fldCharType="begin"/>
        </w:r>
        <w:r w:rsidR="00282E09">
          <w:rPr>
            <w:noProof/>
            <w:webHidden/>
          </w:rPr>
          <w:instrText xml:space="preserve"> PAGEREF _Toc452385967 \h </w:instrText>
        </w:r>
        <w:r w:rsidR="00282E09">
          <w:rPr>
            <w:noProof/>
            <w:webHidden/>
          </w:rPr>
        </w:r>
        <w:r w:rsidR="00282E09">
          <w:rPr>
            <w:noProof/>
            <w:webHidden/>
          </w:rPr>
          <w:fldChar w:fldCharType="separate"/>
        </w:r>
        <w:r w:rsidR="00282E09">
          <w:rPr>
            <w:noProof/>
            <w:webHidden/>
          </w:rPr>
          <w:t>9</w:t>
        </w:r>
        <w:r w:rsidR="00282E09">
          <w:rPr>
            <w:noProof/>
            <w:webHidden/>
          </w:rPr>
          <w:fldChar w:fldCharType="end"/>
        </w:r>
      </w:hyperlink>
    </w:p>
    <w:p w:rsidR="00282E09" w:rsidRDefault="00AF58A5">
      <w:pPr>
        <w:pStyle w:val="TM2"/>
        <w:tabs>
          <w:tab w:val="left" w:pos="660"/>
          <w:tab w:val="right" w:leader="dot" w:pos="9060"/>
        </w:tabs>
        <w:rPr>
          <w:rFonts w:asciiTheme="minorHAnsi" w:eastAsiaTheme="minorEastAsia" w:hAnsiTheme="minorHAnsi"/>
          <w:noProof/>
          <w:lang w:eastAsia="fr-FR"/>
        </w:rPr>
      </w:pPr>
      <w:hyperlink w:anchor="_Toc452385968" w:history="1">
        <w:r w:rsidR="00282E09" w:rsidRPr="005B4337">
          <w:rPr>
            <w:rStyle w:val="Lienhypertexte"/>
            <w:noProof/>
          </w:rPr>
          <w:t>2.</w:t>
        </w:r>
        <w:r w:rsidR="00282E09">
          <w:rPr>
            <w:rFonts w:asciiTheme="minorHAnsi" w:eastAsiaTheme="minorEastAsia" w:hAnsiTheme="minorHAnsi"/>
            <w:noProof/>
            <w:lang w:eastAsia="fr-FR"/>
          </w:rPr>
          <w:tab/>
        </w:r>
        <w:r w:rsidR="00282E09" w:rsidRPr="005B4337">
          <w:rPr>
            <w:rStyle w:val="Lienhypertexte"/>
            <w:noProof/>
          </w:rPr>
          <w:t>RELATIONS AVEC LES ORGANES VISES A L’ARTICLE L. 823</w:t>
        </w:r>
        <w:r w:rsidR="00282E09" w:rsidRPr="005B4337">
          <w:rPr>
            <w:rStyle w:val="Lienhypertexte"/>
            <w:noProof/>
          </w:rPr>
          <w:noBreakHyphen/>
          <w:t>16 DU CODE DE COMMERCE</w:t>
        </w:r>
        <w:r w:rsidR="00282E09">
          <w:rPr>
            <w:noProof/>
            <w:webHidden/>
          </w:rPr>
          <w:tab/>
        </w:r>
        <w:r w:rsidR="00282E09">
          <w:rPr>
            <w:noProof/>
            <w:webHidden/>
          </w:rPr>
          <w:fldChar w:fldCharType="begin"/>
        </w:r>
        <w:r w:rsidR="00282E09">
          <w:rPr>
            <w:noProof/>
            <w:webHidden/>
          </w:rPr>
          <w:instrText xml:space="preserve"> PAGEREF _Toc452385968 \h </w:instrText>
        </w:r>
        <w:r w:rsidR="00282E09">
          <w:rPr>
            <w:noProof/>
            <w:webHidden/>
          </w:rPr>
        </w:r>
        <w:r w:rsidR="00282E09">
          <w:rPr>
            <w:noProof/>
            <w:webHidden/>
          </w:rPr>
          <w:fldChar w:fldCharType="separate"/>
        </w:r>
        <w:r w:rsidR="00282E09">
          <w:rPr>
            <w:noProof/>
            <w:webHidden/>
          </w:rPr>
          <w:t>10</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69" w:history="1">
        <w:r w:rsidR="00282E09" w:rsidRPr="005B4337">
          <w:rPr>
            <w:rStyle w:val="Lienhypertexte"/>
            <w:bCs/>
            <w:noProof/>
          </w:rPr>
          <w:t>2.1.</w:t>
        </w:r>
        <w:r w:rsidR="00282E09">
          <w:rPr>
            <w:rFonts w:asciiTheme="minorHAnsi" w:eastAsiaTheme="minorEastAsia" w:hAnsiTheme="minorHAnsi"/>
            <w:noProof/>
            <w:lang w:eastAsia="fr-FR"/>
          </w:rPr>
          <w:tab/>
        </w:r>
        <w:r w:rsidR="00282E09" w:rsidRPr="005B4337">
          <w:rPr>
            <w:rStyle w:val="Lienhypertexte"/>
            <w:bCs/>
            <w:noProof/>
          </w:rPr>
          <w:t>Textes de référence</w:t>
        </w:r>
        <w:r w:rsidR="00282E09">
          <w:rPr>
            <w:noProof/>
            <w:webHidden/>
          </w:rPr>
          <w:tab/>
        </w:r>
        <w:r w:rsidR="00282E09">
          <w:rPr>
            <w:noProof/>
            <w:webHidden/>
          </w:rPr>
          <w:fldChar w:fldCharType="begin"/>
        </w:r>
        <w:r w:rsidR="00282E09">
          <w:rPr>
            <w:noProof/>
            <w:webHidden/>
          </w:rPr>
          <w:instrText xml:space="preserve"> PAGEREF _Toc452385969 \h </w:instrText>
        </w:r>
        <w:r w:rsidR="00282E09">
          <w:rPr>
            <w:noProof/>
            <w:webHidden/>
          </w:rPr>
        </w:r>
        <w:r w:rsidR="00282E09">
          <w:rPr>
            <w:noProof/>
            <w:webHidden/>
          </w:rPr>
          <w:fldChar w:fldCharType="separate"/>
        </w:r>
        <w:r w:rsidR="00282E09">
          <w:rPr>
            <w:noProof/>
            <w:webHidden/>
          </w:rPr>
          <w:t>10</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70" w:history="1">
        <w:r w:rsidR="00282E09" w:rsidRPr="005B4337">
          <w:rPr>
            <w:rStyle w:val="Lienhypertexte"/>
            <w:bCs/>
            <w:noProof/>
          </w:rPr>
          <w:t>2.2.</w:t>
        </w:r>
        <w:r w:rsidR="00282E09">
          <w:rPr>
            <w:rFonts w:asciiTheme="minorHAnsi" w:eastAsiaTheme="minorEastAsia" w:hAnsiTheme="minorHAnsi"/>
            <w:noProof/>
            <w:lang w:eastAsia="fr-FR"/>
          </w:rPr>
          <w:tab/>
        </w:r>
        <w:r w:rsidR="00282E09" w:rsidRPr="005B4337">
          <w:rPr>
            <w:rStyle w:val="Lienhypertexte"/>
            <w:bCs/>
            <w:noProof/>
          </w:rPr>
          <w:t>Descriptif de l’obligation ou de la spécificité pour l’émetteur</w:t>
        </w:r>
        <w:r w:rsidR="00282E09">
          <w:rPr>
            <w:noProof/>
            <w:webHidden/>
          </w:rPr>
          <w:tab/>
        </w:r>
        <w:r w:rsidR="00282E09">
          <w:rPr>
            <w:noProof/>
            <w:webHidden/>
          </w:rPr>
          <w:fldChar w:fldCharType="begin"/>
        </w:r>
        <w:r w:rsidR="00282E09">
          <w:rPr>
            <w:noProof/>
            <w:webHidden/>
          </w:rPr>
          <w:instrText xml:space="preserve"> PAGEREF _Toc452385970 \h </w:instrText>
        </w:r>
        <w:r w:rsidR="00282E09">
          <w:rPr>
            <w:noProof/>
            <w:webHidden/>
          </w:rPr>
        </w:r>
        <w:r w:rsidR="00282E09">
          <w:rPr>
            <w:noProof/>
            <w:webHidden/>
          </w:rPr>
          <w:fldChar w:fldCharType="separate"/>
        </w:r>
        <w:r w:rsidR="00282E09">
          <w:rPr>
            <w:noProof/>
            <w:webHidden/>
          </w:rPr>
          <w:t>10</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71" w:history="1">
        <w:r w:rsidR="00282E09" w:rsidRPr="005B4337">
          <w:rPr>
            <w:rStyle w:val="Lienhypertexte"/>
            <w:bCs/>
            <w:noProof/>
          </w:rPr>
          <w:t>2.3.</w:t>
        </w:r>
        <w:r w:rsidR="00282E09">
          <w:rPr>
            <w:rFonts w:asciiTheme="minorHAnsi" w:eastAsiaTheme="minorEastAsia" w:hAnsiTheme="minorHAnsi"/>
            <w:noProof/>
            <w:lang w:eastAsia="fr-FR"/>
          </w:rPr>
          <w:tab/>
        </w:r>
        <w:r w:rsidR="00282E09" w:rsidRPr="005B4337">
          <w:rPr>
            <w:rStyle w:val="Lienhypertexte"/>
            <w:bCs/>
            <w:noProof/>
          </w:rPr>
          <w:t>Descriptif de l’obligation ou de la spécificité pour le(s) commissaire(s) aux comptes / points pour attention</w:t>
        </w:r>
        <w:r w:rsidR="00282E09">
          <w:rPr>
            <w:noProof/>
            <w:webHidden/>
          </w:rPr>
          <w:tab/>
        </w:r>
        <w:r w:rsidR="00282E09">
          <w:rPr>
            <w:noProof/>
            <w:webHidden/>
          </w:rPr>
          <w:fldChar w:fldCharType="begin"/>
        </w:r>
        <w:r w:rsidR="00282E09">
          <w:rPr>
            <w:noProof/>
            <w:webHidden/>
          </w:rPr>
          <w:instrText xml:space="preserve"> PAGEREF _Toc452385971 \h </w:instrText>
        </w:r>
        <w:r w:rsidR="00282E09">
          <w:rPr>
            <w:noProof/>
            <w:webHidden/>
          </w:rPr>
        </w:r>
        <w:r w:rsidR="00282E09">
          <w:rPr>
            <w:noProof/>
            <w:webHidden/>
          </w:rPr>
          <w:fldChar w:fldCharType="separate"/>
        </w:r>
        <w:r w:rsidR="00282E09">
          <w:rPr>
            <w:noProof/>
            <w:webHidden/>
          </w:rPr>
          <w:t>10</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72" w:history="1">
        <w:r w:rsidR="00282E09" w:rsidRPr="005B4337">
          <w:rPr>
            <w:rStyle w:val="Lienhypertexte"/>
            <w:bCs/>
            <w:noProof/>
          </w:rPr>
          <w:t>2.4.</w:t>
        </w:r>
        <w:r w:rsidR="00282E09">
          <w:rPr>
            <w:rFonts w:asciiTheme="minorHAnsi" w:eastAsiaTheme="minorEastAsia" w:hAnsiTheme="minorHAnsi"/>
            <w:noProof/>
            <w:lang w:eastAsia="fr-FR"/>
          </w:rPr>
          <w:tab/>
        </w:r>
        <w:r w:rsidR="00282E09" w:rsidRPr="005B4337">
          <w:rPr>
            <w:rStyle w:val="Lienhypertexte"/>
            <w:bCs/>
            <w:noProof/>
          </w:rPr>
          <w:t>Outils disponibles</w:t>
        </w:r>
        <w:r w:rsidR="00282E09">
          <w:rPr>
            <w:noProof/>
            <w:webHidden/>
          </w:rPr>
          <w:tab/>
        </w:r>
        <w:r w:rsidR="00282E09">
          <w:rPr>
            <w:noProof/>
            <w:webHidden/>
          </w:rPr>
          <w:fldChar w:fldCharType="begin"/>
        </w:r>
        <w:r w:rsidR="00282E09">
          <w:rPr>
            <w:noProof/>
            <w:webHidden/>
          </w:rPr>
          <w:instrText xml:space="preserve"> PAGEREF _Toc452385972 \h </w:instrText>
        </w:r>
        <w:r w:rsidR="00282E09">
          <w:rPr>
            <w:noProof/>
            <w:webHidden/>
          </w:rPr>
        </w:r>
        <w:r w:rsidR="00282E09">
          <w:rPr>
            <w:noProof/>
            <w:webHidden/>
          </w:rPr>
          <w:fldChar w:fldCharType="separate"/>
        </w:r>
        <w:r w:rsidR="00282E09">
          <w:rPr>
            <w:noProof/>
            <w:webHidden/>
          </w:rPr>
          <w:t>12</w:t>
        </w:r>
        <w:r w:rsidR="00282E09">
          <w:rPr>
            <w:noProof/>
            <w:webHidden/>
          </w:rPr>
          <w:fldChar w:fldCharType="end"/>
        </w:r>
      </w:hyperlink>
    </w:p>
    <w:p w:rsidR="00282E09" w:rsidRDefault="00AF58A5">
      <w:pPr>
        <w:pStyle w:val="TM2"/>
        <w:tabs>
          <w:tab w:val="left" w:pos="660"/>
          <w:tab w:val="right" w:leader="dot" w:pos="9060"/>
        </w:tabs>
        <w:rPr>
          <w:rFonts w:asciiTheme="minorHAnsi" w:eastAsiaTheme="minorEastAsia" w:hAnsiTheme="minorHAnsi"/>
          <w:noProof/>
          <w:lang w:eastAsia="fr-FR"/>
        </w:rPr>
      </w:pPr>
      <w:hyperlink w:anchor="_Toc452385973" w:history="1">
        <w:r w:rsidR="00282E09" w:rsidRPr="005B4337">
          <w:rPr>
            <w:rStyle w:val="Lienhypertexte"/>
            <w:noProof/>
          </w:rPr>
          <w:t>3.</w:t>
        </w:r>
        <w:r w:rsidR="00282E09">
          <w:rPr>
            <w:rFonts w:asciiTheme="minorHAnsi" w:eastAsiaTheme="minorEastAsia" w:hAnsiTheme="minorHAnsi"/>
            <w:noProof/>
            <w:lang w:eastAsia="fr-FR"/>
          </w:rPr>
          <w:tab/>
        </w:r>
        <w:r w:rsidR="00282E09" w:rsidRPr="005B4337">
          <w:rPr>
            <w:rStyle w:val="Lienhypertexte"/>
            <w:noProof/>
          </w:rPr>
          <w:t>RELATIONS AVEC LES ACTIONNAIRES</w:t>
        </w:r>
        <w:r w:rsidR="00282E09">
          <w:rPr>
            <w:noProof/>
            <w:webHidden/>
          </w:rPr>
          <w:tab/>
        </w:r>
        <w:r w:rsidR="00282E09">
          <w:rPr>
            <w:noProof/>
            <w:webHidden/>
          </w:rPr>
          <w:fldChar w:fldCharType="begin"/>
        </w:r>
        <w:r w:rsidR="00282E09">
          <w:rPr>
            <w:noProof/>
            <w:webHidden/>
          </w:rPr>
          <w:instrText xml:space="preserve"> PAGEREF _Toc452385973 \h </w:instrText>
        </w:r>
        <w:r w:rsidR="00282E09">
          <w:rPr>
            <w:noProof/>
            <w:webHidden/>
          </w:rPr>
        </w:r>
        <w:r w:rsidR="00282E09">
          <w:rPr>
            <w:noProof/>
            <w:webHidden/>
          </w:rPr>
          <w:fldChar w:fldCharType="separate"/>
        </w:r>
        <w:r w:rsidR="00282E09">
          <w:rPr>
            <w:noProof/>
            <w:webHidden/>
          </w:rPr>
          <w:t>12</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74" w:history="1">
        <w:r w:rsidR="00282E09" w:rsidRPr="005B4337">
          <w:rPr>
            <w:rStyle w:val="Lienhypertexte"/>
            <w:bCs/>
            <w:noProof/>
          </w:rPr>
          <w:t>3.1.</w:t>
        </w:r>
        <w:r w:rsidR="00282E09">
          <w:rPr>
            <w:rFonts w:asciiTheme="minorHAnsi" w:eastAsiaTheme="minorEastAsia" w:hAnsiTheme="minorHAnsi"/>
            <w:noProof/>
            <w:lang w:eastAsia="fr-FR"/>
          </w:rPr>
          <w:tab/>
        </w:r>
        <w:r w:rsidR="00282E09" w:rsidRPr="005B4337">
          <w:rPr>
            <w:rStyle w:val="Lienhypertexte"/>
            <w:bCs/>
            <w:noProof/>
          </w:rPr>
          <w:t>Textes de référence</w:t>
        </w:r>
        <w:r w:rsidR="00282E09">
          <w:rPr>
            <w:noProof/>
            <w:webHidden/>
          </w:rPr>
          <w:tab/>
        </w:r>
        <w:r w:rsidR="00282E09">
          <w:rPr>
            <w:noProof/>
            <w:webHidden/>
          </w:rPr>
          <w:fldChar w:fldCharType="begin"/>
        </w:r>
        <w:r w:rsidR="00282E09">
          <w:rPr>
            <w:noProof/>
            <w:webHidden/>
          </w:rPr>
          <w:instrText xml:space="preserve"> PAGEREF _Toc452385974 \h </w:instrText>
        </w:r>
        <w:r w:rsidR="00282E09">
          <w:rPr>
            <w:noProof/>
            <w:webHidden/>
          </w:rPr>
        </w:r>
        <w:r w:rsidR="00282E09">
          <w:rPr>
            <w:noProof/>
            <w:webHidden/>
          </w:rPr>
          <w:fldChar w:fldCharType="separate"/>
        </w:r>
        <w:r w:rsidR="00282E09">
          <w:rPr>
            <w:noProof/>
            <w:webHidden/>
          </w:rPr>
          <w:t>12</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75" w:history="1">
        <w:r w:rsidR="00282E09" w:rsidRPr="005B4337">
          <w:rPr>
            <w:rStyle w:val="Lienhypertexte"/>
            <w:bCs/>
            <w:noProof/>
          </w:rPr>
          <w:t>3.2.</w:t>
        </w:r>
        <w:r w:rsidR="00282E09">
          <w:rPr>
            <w:rFonts w:asciiTheme="minorHAnsi" w:eastAsiaTheme="minorEastAsia" w:hAnsiTheme="minorHAnsi"/>
            <w:noProof/>
            <w:lang w:eastAsia="fr-FR"/>
          </w:rPr>
          <w:tab/>
        </w:r>
        <w:r w:rsidR="00282E09" w:rsidRPr="005B4337">
          <w:rPr>
            <w:rStyle w:val="Lienhypertexte"/>
            <w:bCs/>
            <w:noProof/>
          </w:rPr>
          <w:t>Descriptif de l’obligation ou de la spécificité pour l’émetteur</w:t>
        </w:r>
        <w:r w:rsidR="00282E09">
          <w:rPr>
            <w:noProof/>
            <w:webHidden/>
          </w:rPr>
          <w:tab/>
        </w:r>
        <w:r w:rsidR="00282E09">
          <w:rPr>
            <w:noProof/>
            <w:webHidden/>
          </w:rPr>
          <w:fldChar w:fldCharType="begin"/>
        </w:r>
        <w:r w:rsidR="00282E09">
          <w:rPr>
            <w:noProof/>
            <w:webHidden/>
          </w:rPr>
          <w:instrText xml:space="preserve"> PAGEREF _Toc452385975 \h </w:instrText>
        </w:r>
        <w:r w:rsidR="00282E09">
          <w:rPr>
            <w:noProof/>
            <w:webHidden/>
          </w:rPr>
        </w:r>
        <w:r w:rsidR="00282E09">
          <w:rPr>
            <w:noProof/>
            <w:webHidden/>
          </w:rPr>
          <w:fldChar w:fldCharType="separate"/>
        </w:r>
        <w:r w:rsidR="00282E09">
          <w:rPr>
            <w:noProof/>
            <w:webHidden/>
          </w:rPr>
          <w:t>12</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76" w:history="1">
        <w:r w:rsidR="00282E09" w:rsidRPr="005B4337">
          <w:rPr>
            <w:rStyle w:val="Lienhypertexte"/>
            <w:bCs/>
            <w:noProof/>
          </w:rPr>
          <w:t>3.3.</w:t>
        </w:r>
        <w:r w:rsidR="00282E09">
          <w:rPr>
            <w:rFonts w:asciiTheme="minorHAnsi" w:eastAsiaTheme="minorEastAsia" w:hAnsiTheme="minorHAnsi"/>
            <w:noProof/>
            <w:lang w:eastAsia="fr-FR"/>
          </w:rPr>
          <w:tab/>
        </w:r>
        <w:r w:rsidR="00282E09" w:rsidRPr="005B4337">
          <w:rPr>
            <w:rStyle w:val="Lienhypertexte"/>
            <w:bCs/>
            <w:noProof/>
          </w:rPr>
          <w:t>Descriptif de l’obligation ou de la spécificité pour le(s) commissaire(s) aux comptes / points pour attention</w:t>
        </w:r>
        <w:r w:rsidR="00282E09">
          <w:rPr>
            <w:noProof/>
            <w:webHidden/>
          </w:rPr>
          <w:tab/>
        </w:r>
        <w:r w:rsidR="00282E09">
          <w:rPr>
            <w:noProof/>
            <w:webHidden/>
          </w:rPr>
          <w:fldChar w:fldCharType="begin"/>
        </w:r>
        <w:r w:rsidR="00282E09">
          <w:rPr>
            <w:noProof/>
            <w:webHidden/>
          </w:rPr>
          <w:instrText xml:space="preserve"> PAGEREF _Toc452385976 \h </w:instrText>
        </w:r>
        <w:r w:rsidR="00282E09">
          <w:rPr>
            <w:noProof/>
            <w:webHidden/>
          </w:rPr>
        </w:r>
        <w:r w:rsidR="00282E09">
          <w:rPr>
            <w:noProof/>
            <w:webHidden/>
          </w:rPr>
          <w:fldChar w:fldCharType="separate"/>
        </w:r>
        <w:r w:rsidR="00282E09">
          <w:rPr>
            <w:noProof/>
            <w:webHidden/>
          </w:rPr>
          <w:t>12</w:t>
        </w:r>
        <w:r w:rsidR="00282E09">
          <w:rPr>
            <w:noProof/>
            <w:webHidden/>
          </w:rPr>
          <w:fldChar w:fldCharType="end"/>
        </w:r>
      </w:hyperlink>
    </w:p>
    <w:p w:rsidR="00282E09" w:rsidRDefault="00AF58A5">
      <w:pPr>
        <w:pStyle w:val="TM1"/>
        <w:rPr>
          <w:rFonts w:eastAsiaTheme="minorEastAsia"/>
          <w:b w:val="0"/>
          <w:color w:val="auto"/>
          <w:sz w:val="22"/>
          <w:lang w:eastAsia="fr-FR"/>
        </w:rPr>
      </w:pPr>
      <w:hyperlink w:anchor="_Toc452385977" w:history="1">
        <w:r w:rsidR="00282E09" w:rsidRPr="005B4337">
          <w:rPr>
            <w:rStyle w:val="Lienhypertexte"/>
          </w:rPr>
          <w:t>Section 300.</w:t>
        </w:r>
        <w:r w:rsidR="00282E09">
          <w:rPr>
            <w:rFonts w:eastAsiaTheme="minorEastAsia"/>
            <w:b w:val="0"/>
            <w:color w:val="auto"/>
            <w:sz w:val="22"/>
            <w:lang w:eastAsia="fr-FR"/>
          </w:rPr>
          <w:tab/>
        </w:r>
        <w:r w:rsidR="00282E09" w:rsidRPr="005B4337">
          <w:rPr>
            <w:rStyle w:val="Lienhypertexte"/>
          </w:rPr>
          <w:t>AUTRES POINTS DE VIGILANCE</w:t>
        </w:r>
        <w:r w:rsidR="00282E09">
          <w:rPr>
            <w:webHidden/>
          </w:rPr>
          <w:tab/>
        </w:r>
        <w:r w:rsidR="00282E09">
          <w:rPr>
            <w:webHidden/>
          </w:rPr>
          <w:fldChar w:fldCharType="begin"/>
        </w:r>
        <w:r w:rsidR="00282E09">
          <w:rPr>
            <w:webHidden/>
          </w:rPr>
          <w:instrText xml:space="preserve"> PAGEREF _Toc452385977 \h </w:instrText>
        </w:r>
        <w:r w:rsidR="00282E09">
          <w:rPr>
            <w:webHidden/>
          </w:rPr>
        </w:r>
        <w:r w:rsidR="00282E09">
          <w:rPr>
            <w:webHidden/>
          </w:rPr>
          <w:fldChar w:fldCharType="separate"/>
        </w:r>
        <w:r w:rsidR="00282E09">
          <w:rPr>
            <w:webHidden/>
          </w:rPr>
          <w:t>13</w:t>
        </w:r>
        <w:r w:rsidR="00282E09">
          <w:rPr>
            <w:webHidden/>
          </w:rPr>
          <w:fldChar w:fldCharType="end"/>
        </w:r>
      </w:hyperlink>
    </w:p>
    <w:p w:rsidR="00282E09" w:rsidRDefault="00AF58A5">
      <w:pPr>
        <w:pStyle w:val="TM2"/>
        <w:tabs>
          <w:tab w:val="left" w:pos="660"/>
          <w:tab w:val="right" w:leader="dot" w:pos="9060"/>
        </w:tabs>
        <w:rPr>
          <w:rFonts w:asciiTheme="minorHAnsi" w:eastAsiaTheme="minorEastAsia" w:hAnsiTheme="minorHAnsi"/>
          <w:noProof/>
          <w:lang w:eastAsia="fr-FR"/>
        </w:rPr>
      </w:pPr>
      <w:hyperlink w:anchor="_Toc452385978" w:history="1">
        <w:r w:rsidR="00282E09" w:rsidRPr="005B4337">
          <w:rPr>
            <w:rStyle w:val="Lienhypertexte"/>
            <w:noProof/>
          </w:rPr>
          <w:t>1.</w:t>
        </w:r>
        <w:r w:rsidR="00282E09">
          <w:rPr>
            <w:rFonts w:asciiTheme="minorHAnsi" w:eastAsiaTheme="minorEastAsia" w:hAnsiTheme="minorHAnsi"/>
            <w:noProof/>
            <w:lang w:eastAsia="fr-FR"/>
          </w:rPr>
          <w:tab/>
        </w:r>
        <w:r w:rsidR="00282E09" w:rsidRPr="005B4337">
          <w:rPr>
            <w:rStyle w:val="Lienhypertexte"/>
            <w:noProof/>
          </w:rPr>
          <w:t>DATE DE MISE A DISPOSITION ET DE PUBLICATION DES RAPPORTS DES COMMISSAIRES AUX COMPTES</w:t>
        </w:r>
        <w:r w:rsidR="00282E09">
          <w:rPr>
            <w:noProof/>
            <w:webHidden/>
          </w:rPr>
          <w:tab/>
        </w:r>
        <w:r w:rsidR="00282E09">
          <w:rPr>
            <w:noProof/>
            <w:webHidden/>
          </w:rPr>
          <w:fldChar w:fldCharType="begin"/>
        </w:r>
        <w:r w:rsidR="00282E09">
          <w:rPr>
            <w:noProof/>
            <w:webHidden/>
          </w:rPr>
          <w:instrText xml:space="preserve"> PAGEREF _Toc452385978 \h </w:instrText>
        </w:r>
        <w:r w:rsidR="00282E09">
          <w:rPr>
            <w:noProof/>
            <w:webHidden/>
          </w:rPr>
        </w:r>
        <w:r w:rsidR="00282E09">
          <w:rPr>
            <w:noProof/>
            <w:webHidden/>
          </w:rPr>
          <w:fldChar w:fldCharType="separate"/>
        </w:r>
        <w:r w:rsidR="00282E09">
          <w:rPr>
            <w:noProof/>
            <w:webHidden/>
          </w:rPr>
          <w:t>13</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79" w:history="1">
        <w:r w:rsidR="00282E09" w:rsidRPr="005B4337">
          <w:rPr>
            <w:rStyle w:val="Lienhypertexte"/>
            <w:bCs/>
            <w:noProof/>
          </w:rPr>
          <w:t>1.1.</w:t>
        </w:r>
        <w:r w:rsidR="00282E09">
          <w:rPr>
            <w:rFonts w:asciiTheme="minorHAnsi" w:eastAsiaTheme="minorEastAsia" w:hAnsiTheme="minorHAnsi"/>
            <w:noProof/>
            <w:lang w:eastAsia="fr-FR"/>
          </w:rPr>
          <w:tab/>
        </w:r>
        <w:r w:rsidR="00282E09" w:rsidRPr="005B4337">
          <w:rPr>
            <w:rStyle w:val="Lienhypertexte"/>
            <w:bCs/>
            <w:noProof/>
          </w:rPr>
          <w:t>Textes de référence</w:t>
        </w:r>
        <w:r w:rsidR="00282E09">
          <w:rPr>
            <w:noProof/>
            <w:webHidden/>
          </w:rPr>
          <w:tab/>
        </w:r>
        <w:r w:rsidR="00282E09">
          <w:rPr>
            <w:noProof/>
            <w:webHidden/>
          </w:rPr>
          <w:fldChar w:fldCharType="begin"/>
        </w:r>
        <w:r w:rsidR="00282E09">
          <w:rPr>
            <w:noProof/>
            <w:webHidden/>
          </w:rPr>
          <w:instrText xml:space="preserve"> PAGEREF _Toc452385979 \h </w:instrText>
        </w:r>
        <w:r w:rsidR="00282E09">
          <w:rPr>
            <w:noProof/>
            <w:webHidden/>
          </w:rPr>
        </w:r>
        <w:r w:rsidR="00282E09">
          <w:rPr>
            <w:noProof/>
            <w:webHidden/>
          </w:rPr>
          <w:fldChar w:fldCharType="separate"/>
        </w:r>
        <w:r w:rsidR="00282E09">
          <w:rPr>
            <w:noProof/>
            <w:webHidden/>
          </w:rPr>
          <w:t>13</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80" w:history="1">
        <w:r w:rsidR="00282E09" w:rsidRPr="005B4337">
          <w:rPr>
            <w:rStyle w:val="Lienhypertexte"/>
            <w:noProof/>
          </w:rPr>
          <w:t>1.2.</w:t>
        </w:r>
        <w:r w:rsidR="00282E09">
          <w:rPr>
            <w:rFonts w:asciiTheme="minorHAnsi" w:eastAsiaTheme="minorEastAsia" w:hAnsiTheme="minorHAnsi"/>
            <w:noProof/>
            <w:lang w:eastAsia="fr-FR"/>
          </w:rPr>
          <w:tab/>
        </w:r>
        <w:r w:rsidR="00282E09" w:rsidRPr="005B4337">
          <w:rPr>
            <w:rStyle w:val="Lienhypertexte"/>
            <w:noProof/>
          </w:rPr>
          <w:t>Descriptif de l’obligation ou de la spécificité pour l’émetteur</w:t>
        </w:r>
        <w:r w:rsidR="00282E09">
          <w:rPr>
            <w:noProof/>
            <w:webHidden/>
          </w:rPr>
          <w:tab/>
        </w:r>
        <w:r w:rsidR="00282E09">
          <w:rPr>
            <w:noProof/>
            <w:webHidden/>
          </w:rPr>
          <w:fldChar w:fldCharType="begin"/>
        </w:r>
        <w:r w:rsidR="00282E09">
          <w:rPr>
            <w:noProof/>
            <w:webHidden/>
          </w:rPr>
          <w:instrText xml:space="preserve"> PAGEREF _Toc452385980 \h </w:instrText>
        </w:r>
        <w:r w:rsidR="00282E09">
          <w:rPr>
            <w:noProof/>
            <w:webHidden/>
          </w:rPr>
        </w:r>
        <w:r w:rsidR="00282E09">
          <w:rPr>
            <w:noProof/>
            <w:webHidden/>
          </w:rPr>
          <w:fldChar w:fldCharType="separate"/>
        </w:r>
        <w:r w:rsidR="00282E09">
          <w:rPr>
            <w:noProof/>
            <w:webHidden/>
          </w:rPr>
          <w:t>13</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81" w:history="1">
        <w:r w:rsidR="00282E09" w:rsidRPr="005B4337">
          <w:rPr>
            <w:rStyle w:val="Lienhypertexte"/>
            <w:bCs/>
            <w:noProof/>
          </w:rPr>
          <w:t>1.3.</w:t>
        </w:r>
        <w:r w:rsidR="00282E09">
          <w:rPr>
            <w:rFonts w:asciiTheme="minorHAnsi" w:eastAsiaTheme="minorEastAsia" w:hAnsiTheme="minorHAnsi"/>
            <w:noProof/>
            <w:lang w:eastAsia="fr-FR"/>
          </w:rPr>
          <w:tab/>
        </w:r>
        <w:r w:rsidR="00282E09" w:rsidRPr="005B4337">
          <w:rPr>
            <w:rStyle w:val="Lienhypertexte"/>
            <w:bCs/>
            <w:noProof/>
          </w:rPr>
          <w:t>Descriptif de l’obligation ou de la spécificité pour le(s) commissaire(s) aux comptes / points pour attention</w:t>
        </w:r>
        <w:r w:rsidR="00282E09">
          <w:rPr>
            <w:noProof/>
            <w:webHidden/>
          </w:rPr>
          <w:tab/>
        </w:r>
        <w:r w:rsidR="00282E09">
          <w:rPr>
            <w:noProof/>
            <w:webHidden/>
          </w:rPr>
          <w:fldChar w:fldCharType="begin"/>
        </w:r>
        <w:r w:rsidR="00282E09">
          <w:rPr>
            <w:noProof/>
            <w:webHidden/>
          </w:rPr>
          <w:instrText xml:space="preserve"> PAGEREF _Toc452385981 \h </w:instrText>
        </w:r>
        <w:r w:rsidR="00282E09">
          <w:rPr>
            <w:noProof/>
            <w:webHidden/>
          </w:rPr>
        </w:r>
        <w:r w:rsidR="00282E09">
          <w:rPr>
            <w:noProof/>
            <w:webHidden/>
          </w:rPr>
          <w:fldChar w:fldCharType="separate"/>
        </w:r>
        <w:r w:rsidR="00282E09">
          <w:rPr>
            <w:noProof/>
            <w:webHidden/>
          </w:rPr>
          <w:t>14</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82" w:history="1">
        <w:r w:rsidR="00282E09" w:rsidRPr="005B4337">
          <w:rPr>
            <w:rStyle w:val="Lienhypertexte"/>
            <w:bCs/>
            <w:noProof/>
          </w:rPr>
          <w:t>1.4.</w:t>
        </w:r>
        <w:r w:rsidR="00282E09">
          <w:rPr>
            <w:rFonts w:asciiTheme="minorHAnsi" w:eastAsiaTheme="minorEastAsia" w:hAnsiTheme="minorHAnsi"/>
            <w:noProof/>
            <w:lang w:eastAsia="fr-FR"/>
          </w:rPr>
          <w:tab/>
        </w:r>
        <w:r w:rsidR="00282E09" w:rsidRPr="005B4337">
          <w:rPr>
            <w:rStyle w:val="Lienhypertexte"/>
            <w:bCs/>
            <w:noProof/>
          </w:rPr>
          <w:t>Outils disponibles</w:t>
        </w:r>
        <w:r w:rsidR="00282E09">
          <w:rPr>
            <w:noProof/>
            <w:webHidden/>
          </w:rPr>
          <w:tab/>
        </w:r>
        <w:r w:rsidR="00282E09">
          <w:rPr>
            <w:noProof/>
            <w:webHidden/>
          </w:rPr>
          <w:fldChar w:fldCharType="begin"/>
        </w:r>
        <w:r w:rsidR="00282E09">
          <w:rPr>
            <w:noProof/>
            <w:webHidden/>
          </w:rPr>
          <w:instrText xml:space="preserve"> PAGEREF _Toc452385982 \h </w:instrText>
        </w:r>
        <w:r w:rsidR="00282E09">
          <w:rPr>
            <w:noProof/>
            <w:webHidden/>
          </w:rPr>
        </w:r>
        <w:r w:rsidR="00282E09">
          <w:rPr>
            <w:noProof/>
            <w:webHidden/>
          </w:rPr>
          <w:fldChar w:fldCharType="separate"/>
        </w:r>
        <w:r w:rsidR="00282E09">
          <w:rPr>
            <w:noProof/>
            <w:webHidden/>
          </w:rPr>
          <w:t>14</w:t>
        </w:r>
        <w:r w:rsidR="00282E09">
          <w:rPr>
            <w:noProof/>
            <w:webHidden/>
          </w:rPr>
          <w:fldChar w:fldCharType="end"/>
        </w:r>
      </w:hyperlink>
    </w:p>
    <w:p w:rsidR="00282E09" w:rsidRDefault="00AF58A5">
      <w:pPr>
        <w:pStyle w:val="TM2"/>
        <w:tabs>
          <w:tab w:val="left" w:pos="660"/>
          <w:tab w:val="right" w:leader="dot" w:pos="9060"/>
        </w:tabs>
        <w:rPr>
          <w:rFonts w:asciiTheme="minorHAnsi" w:eastAsiaTheme="minorEastAsia" w:hAnsiTheme="minorHAnsi"/>
          <w:noProof/>
          <w:lang w:eastAsia="fr-FR"/>
        </w:rPr>
      </w:pPr>
      <w:hyperlink w:anchor="_Toc452385983" w:history="1">
        <w:r w:rsidR="00282E09" w:rsidRPr="005B4337">
          <w:rPr>
            <w:rStyle w:val="Lienhypertexte"/>
            <w:noProof/>
          </w:rPr>
          <w:t>2.</w:t>
        </w:r>
        <w:r w:rsidR="00282E09">
          <w:rPr>
            <w:rFonts w:asciiTheme="minorHAnsi" w:eastAsiaTheme="minorEastAsia" w:hAnsiTheme="minorHAnsi"/>
            <w:noProof/>
            <w:lang w:eastAsia="fr-FR"/>
          </w:rPr>
          <w:tab/>
        </w:r>
        <w:r w:rsidR="00282E09" w:rsidRPr="005B4337">
          <w:rPr>
            <w:rStyle w:val="Lienhypertexte"/>
            <w:noProof/>
          </w:rPr>
          <w:t>ALERTE</w:t>
        </w:r>
        <w:r w:rsidR="00282E09">
          <w:rPr>
            <w:noProof/>
            <w:webHidden/>
          </w:rPr>
          <w:tab/>
        </w:r>
        <w:r w:rsidR="00282E09">
          <w:rPr>
            <w:noProof/>
            <w:webHidden/>
          </w:rPr>
          <w:fldChar w:fldCharType="begin"/>
        </w:r>
        <w:r w:rsidR="00282E09">
          <w:rPr>
            <w:noProof/>
            <w:webHidden/>
          </w:rPr>
          <w:instrText xml:space="preserve"> PAGEREF _Toc452385983 \h </w:instrText>
        </w:r>
        <w:r w:rsidR="00282E09">
          <w:rPr>
            <w:noProof/>
            <w:webHidden/>
          </w:rPr>
        </w:r>
        <w:r w:rsidR="00282E09">
          <w:rPr>
            <w:noProof/>
            <w:webHidden/>
          </w:rPr>
          <w:fldChar w:fldCharType="separate"/>
        </w:r>
        <w:r w:rsidR="00282E09">
          <w:rPr>
            <w:noProof/>
            <w:webHidden/>
          </w:rPr>
          <w:t>14</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84" w:history="1">
        <w:r w:rsidR="00282E09" w:rsidRPr="005B4337">
          <w:rPr>
            <w:rStyle w:val="Lienhypertexte"/>
            <w:bCs/>
            <w:noProof/>
          </w:rPr>
          <w:t>2.1.</w:t>
        </w:r>
        <w:r w:rsidR="00282E09">
          <w:rPr>
            <w:rFonts w:asciiTheme="minorHAnsi" w:eastAsiaTheme="minorEastAsia" w:hAnsiTheme="minorHAnsi"/>
            <w:noProof/>
            <w:lang w:eastAsia="fr-FR"/>
          </w:rPr>
          <w:tab/>
        </w:r>
        <w:r w:rsidR="00282E09" w:rsidRPr="005B4337">
          <w:rPr>
            <w:rStyle w:val="Lienhypertexte"/>
            <w:bCs/>
            <w:noProof/>
          </w:rPr>
          <w:t>Textes de référence</w:t>
        </w:r>
        <w:r w:rsidR="00282E09">
          <w:rPr>
            <w:noProof/>
            <w:webHidden/>
          </w:rPr>
          <w:tab/>
        </w:r>
        <w:r w:rsidR="00282E09">
          <w:rPr>
            <w:noProof/>
            <w:webHidden/>
          </w:rPr>
          <w:fldChar w:fldCharType="begin"/>
        </w:r>
        <w:r w:rsidR="00282E09">
          <w:rPr>
            <w:noProof/>
            <w:webHidden/>
          </w:rPr>
          <w:instrText xml:space="preserve"> PAGEREF _Toc452385984 \h </w:instrText>
        </w:r>
        <w:r w:rsidR="00282E09">
          <w:rPr>
            <w:noProof/>
            <w:webHidden/>
          </w:rPr>
        </w:r>
        <w:r w:rsidR="00282E09">
          <w:rPr>
            <w:noProof/>
            <w:webHidden/>
          </w:rPr>
          <w:fldChar w:fldCharType="separate"/>
        </w:r>
        <w:r w:rsidR="00282E09">
          <w:rPr>
            <w:noProof/>
            <w:webHidden/>
          </w:rPr>
          <w:t>14</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85" w:history="1">
        <w:r w:rsidR="00282E09" w:rsidRPr="005B4337">
          <w:rPr>
            <w:rStyle w:val="Lienhypertexte"/>
            <w:bCs/>
            <w:noProof/>
          </w:rPr>
          <w:t>2.2.</w:t>
        </w:r>
        <w:r w:rsidR="00282E09">
          <w:rPr>
            <w:rFonts w:asciiTheme="minorHAnsi" w:eastAsiaTheme="minorEastAsia" w:hAnsiTheme="minorHAnsi"/>
            <w:noProof/>
            <w:lang w:eastAsia="fr-FR"/>
          </w:rPr>
          <w:tab/>
        </w:r>
        <w:r w:rsidR="00282E09" w:rsidRPr="005B4337">
          <w:rPr>
            <w:rStyle w:val="Lienhypertexte"/>
            <w:bCs/>
            <w:noProof/>
          </w:rPr>
          <w:t>Descriptif de l’obligation ou de la spécificité pour l’émetteur</w:t>
        </w:r>
        <w:r w:rsidR="00282E09">
          <w:rPr>
            <w:noProof/>
            <w:webHidden/>
          </w:rPr>
          <w:tab/>
        </w:r>
        <w:r w:rsidR="00282E09">
          <w:rPr>
            <w:noProof/>
            <w:webHidden/>
          </w:rPr>
          <w:fldChar w:fldCharType="begin"/>
        </w:r>
        <w:r w:rsidR="00282E09">
          <w:rPr>
            <w:noProof/>
            <w:webHidden/>
          </w:rPr>
          <w:instrText xml:space="preserve"> PAGEREF _Toc452385985 \h </w:instrText>
        </w:r>
        <w:r w:rsidR="00282E09">
          <w:rPr>
            <w:noProof/>
            <w:webHidden/>
          </w:rPr>
        </w:r>
        <w:r w:rsidR="00282E09">
          <w:rPr>
            <w:noProof/>
            <w:webHidden/>
          </w:rPr>
          <w:fldChar w:fldCharType="separate"/>
        </w:r>
        <w:r w:rsidR="00282E09">
          <w:rPr>
            <w:noProof/>
            <w:webHidden/>
          </w:rPr>
          <w:t>15</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86" w:history="1">
        <w:r w:rsidR="00282E09" w:rsidRPr="005B4337">
          <w:rPr>
            <w:rStyle w:val="Lienhypertexte"/>
            <w:bCs/>
            <w:noProof/>
          </w:rPr>
          <w:t>2.3.</w:t>
        </w:r>
        <w:r w:rsidR="00282E09">
          <w:rPr>
            <w:rFonts w:asciiTheme="minorHAnsi" w:eastAsiaTheme="minorEastAsia" w:hAnsiTheme="minorHAnsi"/>
            <w:noProof/>
            <w:lang w:eastAsia="fr-FR"/>
          </w:rPr>
          <w:tab/>
        </w:r>
        <w:r w:rsidR="00282E09" w:rsidRPr="005B4337">
          <w:rPr>
            <w:rStyle w:val="Lienhypertexte"/>
            <w:bCs/>
            <w:noProof/>
          </w:rPr>
          <w:t>Descriptif de l’obligation ou de la spécificité pour le(s) commissaire(s) aux comptes / points pour attention</w:t>
        </w:r>
        <w:r w:rsidR="00282E09">
          <w:rPr>
            <w:noProof/>
            <w:webHidden/>
          </w:rPr>
          <w:tab/>
        </w:r>
        <w:r w:rsidR="00282E09">
          <w:rPr>
            <w:noProof/>
            <w:webHidden/>
          </w:rPr>
          <w:fldChar w:fldCharType="begin"/>
        </w:r>
        <w:r w:rsidR="00282E09">
          <w:rPr>
            <w:noProof/>
            <w:webHidden/>
          </w:rPr>
          <w:instrText xml:space="preserve"> PAGEREF _Toc452385986 \h </w:instrText>
        </w:r>
        <w:r w:rsidR="00282E09">
          <w:rPr>
            <w:noProof/>
            <w:webHidden/>
          </w:rPr>
        </w:r>
        <w:r w:rsidR="00282E09">
          <w:rPr>
            <w:noProof/>
            <w:webHidden/>
          </w:rPr>
          <w:fldChar w:fldCharType="separate"/>
        </w:r>
        <w:r w:rsidR="00282E09">
          <w:rPr>
            <w:noProof/>
            <w:webHidden/>
          </w:rPr>
          <w:t>15</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87" w:history="1">
        <w:r w:rsidR="00282E09" w:rsidRPr="005B4337">
          <w:rPr>
            <w:rStyle w:val="Lienhypertexte"/>
            <w:bCs/>
            <w:noProof/>
          </w:rPr>
          <w:t>2.4.</w:t>
        </w:r>
        <w:r w:rsidR="00282E09">
          <w:rPr>
            <w:rFonts w:asciiTheme="minorHAnsi" w:eastAsiaTheme="minorEastAsia" w:hAnsiTheme="minorHAnsi"/>
            <w:noProof/>
            <w:lang w:eastAsia="fr-FR"/>
          </w:rPr>
          <w:tab/>
        </w:r>
        <w:r w:rsidR="00282E09" w:rsidRPr="005B4337">
          <w:rPr>
            <w:rStyle w:val="Lienhypertexte"/>
            <w:bCs/>
            <w:noProof/>
          </w:rPr>
          <w:t>Outils disponibles</w:t>
        </w:r>
        <w:r w:rsidR="00282E09">
          <w:rPr>
            <w:noProof/>
            <w:webHidden/>
          </w:rPr>
          <w:tab/>
        </w:r>
        <w:r w:rsidR="00282E09">
          <w:rPr>
            <w:noProof/>
            <w:webHidden/>
          </w:rPr>
          <w:fldChar w:fldCharType="begin"/>
        </w:r>
        <w:r w:rsidR="00282E09">
          <w:rPr>
            <w:noProof/>
            <w:webHidden/>
          </w:rPr>
          <w:instrText xml:space="preserve"> PAGEREF _Toc452385987 \h </w:instrText>
        </w:r>
        <w:r w:rsidR="00282E09">
          <w:rPr>
            <w:noProof/>
            <w:webHidden/>
          </w:rPr>
        </w:r>
        <w:r w:rsidR="00282E09">
          <w:rPr>
            <w:noProof/>
            <w:webHidden/>
          </w:rPr>
          <w:fldChar w:fldCharType="separate"/>
        </w:r>
        <w:r w:rsidR="00282E09">
          <w:rPr>
            <w:noProof/>
            <w:webHidden/>
          </w:rPr>
          <w:t>15</w:t>
        </w:r>
        <w:r w:rsidR="00282E09">
          <w:rPr>
            <w:noProof/>
            <w:webHidden/>
          </w:rPr>
          <w:fldChar w:fldCharType="end"/>
        </w:r>
      </w:hyperlink>
    </w:p>
    <w:p w:rsidR="00282E09" w:rsidRDefault="00AF58A5">
      <w:pPr>
        <w:pStyle w:val="TM2"/>
        <w:tabs>
          <w:tab w:val="left" w:pos="660"/>
          <w:tab w:val="right" w:leader="dot" w:pos="9060"/>
        </w:tabs>
        <w:rPr>
          <w:rFonts w:asciiTheme="minorHAnsi" w:eastAsiaTheme="minorEastAsia" w:hAnsiTheme="minorHAnsi"/>
          <w:noProof/>
          <w:lang w:eastAsia="fr-FR"/>
        </w:rPr>
      </w:pPr>
      <w:hyperlink w:anchor="_Toc452385988" w:history="1">
        <w:r w:rsidR="00282E09" w:rsidRPr="005B4337">
          <w:rPr>
            <w:rStyle w:val="Lienhypertexte"/>
            <w:noProof/>
          </w:rPr>
          <w:t>3.</w:t>
        </w:r>
        <w:r w:rsidR="00282E09">
          <w:rPr>
            <w:rFonts w:asciiTheme="minorHAnsi" w:eastAsiaTheme="minorEastAsia" w:hAnsiTheme="minorHAnsi"/>
            <w:noProof/>
            <w:lang w:eastAsia="fr-FR"/>
          </w:rPr>
          <w:tab/>
        </w:r>
        <w:r w:rsidR="00282E09" w:rsidRPr="005B4337">
          <w:rPr>
            <w:rStyle w:val="Lienhypertexte"/>
            <w:noProof/>
          </w:rPr>
          <w:t>DELITS PROPRES A LA MISSION DU COMMISSAIRE AUX COMPTES AUPRES D’UNE SOCIETE DONT LES ACTIONS SONT ADMISES AUX NEGOCIATIONS SUR LES MARCHES REGLEMENTES – Fausse information, opérations d’initiés et manipulation de cours</w:t>
        </w:r>
        <w:r w:rsidR="00282E09">
          <w:rPr>
            <w:noProof/>
            <w:webHidden/>
          </w:rPr>
          <w:tab/>
        </w:r>
        <w:r w:rsidR="00282E09">
          <w:rPr>
            <w:noProof/>
            <w:webHidden/>
          </w:rPr>
          <w:fldChar w:fldCharType="begin"/>
        </w:r>
        <w:r w:rsidR="00282E09">
          <w:rPr>
            <w:noProof/>
            <w:webHidden/>
          </w:rPr>
          <w:instrText xml:space="preserve"> PAGEREF _Toc452385988 \h </w:instrText>
        </w:r>
        <w:r w:rsidR="00282E09">
          <w:rPr>
            <w:noProof/>
            <w:webHidden/>
          </w:rPr>
        </w:r>
        <w:r w:rsidR="00282E09">
          <w:rPr>
            <w:noProof/>
            <w:webHidden/>
          </w:rPr>
          <w:fldChar w:fldCharType="separate"/>
        </w:r>
        <w:r w:rsidR="00282E09">
          <w:rPr>
            <w:noProof/>
            <w:webHidden/>
          </w:rPr>
          <w:t>16</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89" w:history="1">
        <w:r w:rsidR="00282E09" w:rsidRPr="005B4337">
          <w:rPr>
            <w:rStyle w:val="Lienhypertexte"/>
            <w:bCs/>
            <w:noProof/>
          </w:rPr>
          <w:t>3.1.</w:t>
        </w:r>
        <w:r w:rsidR="00282E09">
          <w:rPr>
            <w:rFonts w:asciiTheme="minorHAnsi" w:eastAsiaTheme="minorEastAsia" w:hAnsiTheme="minorHAnsi"/>
            <w:noProof/>
            <w:lang w:eastAsia="fr-FR"/>
          </w:rPr>
          <w:tab/>
        </w:r>
        <w:r w:rsidR="00282E09" w:rsidRPr="005B4337">
          <w:rPr>
            <w:rStyle w:val="Lienhypertexte"/>
            <w:bCs/>
            <w:noProof/>
          </w:rPr>
          <w:t>Textes de référence</w:t>
        </w:r>
        <w:r w:rsidR="00282E09">
          <w:rPr>
            <w:noProof/>
            <w:webHidden/>
          </w:rPr>
          <w:tab/>
        </w:r>
        <w:r w:rsidR="00282E09">
          <w:rPr>
            <w:noProof/>
            <w:webHidden/>
          </w:rPr>
          <w:fldChar w:fldCharType="begin"/>
        </w:r>
        <w:r w:rsidR="00282E09">
          <w:rPr>
            <w:noProof/>
            <w:webHidden/>
          </w:rPr>
          <w:instrText xml:space="preserve"> PAGEREF _Toc452385989 \h </w:instrText>
        </w:r>
        <w:r w:rsidR="00282E09">
          <w:rPr>
            <w:noProof/>
            <w:webHidden/>
          </w:rPr>
        </w:r>
        <w:r w:rsidR="00282E09">
          <w:rPr>
            <w:noProof/>
            <w:webHidden/>
          </w:rPr>
          <w:fldChar w:fldCharType="separate"/>
        </w:r>
        <w:r w:rsidR="00282E09">
          <w:rPr>
            <w:noProof/>
            <w:webHidden/>
          </w:rPr>
          <w:t>16</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90" w:history="1">
        <w:r w:rsidR="00282E09" w:rsidRPr="005B4337">
          <w:rPr>
            <w:rStyle w:val="Lienhypertexte"/>
            <w:bCs/>
            <w:noProof/>
          </w:rPr>
          <w:t>3.2.</w:t>
        </w:r>
        <w:r w:rsidR="00282E09">
          <w:rPr>
            <w:rFonts w:asciiTheme="minorHAnsi" w:eastAsiaTheme="minorEastAsia" w:hAnsiTheme="minorHAnsi"/>
            <w:noProof/>
            <w:lang w:eastAsia="fr-FR"/>
          </w:rPr>
          <w:tab/>
        </w:r>
        <w:r w:rsidR="00282E09" w:rsidRPr="005B4337">
          <w:rPr>
            <w:rStyle w:val="Lienhypertexte"/>
            <w:bCs/>
            <w:noProof/>
          </w:rPr>
          <w:t>Descriptif de l’obligation ou de la spécificité pour l’émetteur</w:t>
        </w:r>
        <w:r w:rsidR="00282E09">
          <w:rPr>
            <w:noProof/>
            <w:webHidden/>
          </w:rPr>
          <w:tab/>
        </w:r>
        <w:r w:rsidR="00282E09">
          <w:rPr>
            <w:noProof/>
            <w:webHidden/>
          </w:rPr>
          <w:fldChar w:fldCharType="begin"/>
        </w:r>
        <w:r w:rsidR="00282E09">
          <w:rPr>
            <w:noProof/>
            <w:webHidden/>
          </w:rPr>
          <w:instrText xml:space="preserve"> PAGEREF _Toc452385990 \h </w:instrText>
        </w:r>
        <w:r w:rsidR="00282E09">
          <w:rPr>
            <w:noProof/>
            <w:webHidden/>
          </w:rPr>
        </w:r>
        <w:r w:rsidR="00282E09">
          <w:rPr>
            <w:noProof/>
            <w:webHidden/>
          </w:rPr>
          <w:fldChar w:fldCharType="separate"/>
        </w:r>
        <w:r w:rsidR="00282E09">
          <w:rPr>
            <w:noProof/>
            <w:webHidden/>
          </w:rPr>
          <w:t>16</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91" w:history="1">
        <w:r w:rsidR="00282E09" w:rsidRPr="005B4337">
          <w:rPr>
            <w:rStyle w:val="Lienhypertexte"/>
            <w:noProof/>
          </w:rPr>
          <w:t>3.3.</w:t>
        </w:r>
        <w:r w:rsidR="00282E09">
          <w:rPr>
            <w:rFonts w:asciiTheme="minorHAnsi" w:eastAsiaTheme="minorEastAsia" w:hAnsiTheme="minorHAnsi"/>
            <w:noProof/>
            <w:lang w:eastAsia="fr-FR"/>
          </w:rPr>
          <w:tab/>
        </w:r>
        <w:r w:rsidR="00282E09" w:rsidRPr="005B4337">
          <w:rPr>
            <w:rStyle w:val="Lienhypertexte"/>
            <w:noProof/>
          </w:rPr>
          <w:t>Sanctions applicables aux infractions développées ci-dessus</w:t>
        </w:r>
        <w:r w:rsidR="00282E09">
          <w:rPr>
            <w:noProof/>
            <w:webHidden/>
          </w:rPr>
          <w:tab/>
        </w:r>
        <w:r w:rsidR="00282E09">
          <w:rPr>
            <w:noProof/>
            <w:webHidden/>
          </w:rPr>
          <w:fldChar w:fldCharType="begin"/>
        </w:r>
        <w:r w:rsidR="00282E09">
          <w:rPr>
            <w:noProof/>
            <w:webHidden/>
          </w:rPr>
          <w:instrText xml:space="preserve"> PAGEREF _Toc452385991 \h </w:instrText>
        </w:r>
        <w:r w:rsidR="00282E09">
          <w:rPr>
            <w:noProof/>
            <w:webHidden/>
          </w:rPr>
        </w:r>
        <w:r w:rsidR="00282E09">
          <w:rPr>
            <w:noProof/>
            <w:webHidden/>
          </w:rPr>
          <w:fldChar w:fldCharType="separate"/>
        </w:r>
        <w:r w:rsidR="00282E09">
          <w:rPr>
            <w:noProof/>
            <w:webHidden/>
          </w:rPr>
          <w:t>18</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92" w:history="1">
        <w:r w:rsidR="00282E09" w:rsidRPr="005B4337">
          <w:rPr>
            <w:rStyle w:val="Lienhypertexte"/>
            <w:bCs/>
            <w:noProof/>
          </w:rPr>
          <w:t>3.4.</w:t>
        </w:r>
        <w:r w:rsidR="00282E09">
          <w:rPr>
            <w:rFonts w:asciiTheme="minorHAnsi" w:eastAsiaTheme="minorEastAsia" w:hAnsiTheme="minorHAnsi"/>
            <w:noProof/>
            <w:lang w:eastAsia="fr-FR"/>
          </w:rPr>
          <w:tab/>
        </w:r>
        <w:r w:rsidR="00282E09" w:rsidRPr="005B4337">
          <w:rPr>
            <w:rStyle w:val="Lienhypertexte"/>
            <w:bCs/>
            <w:noProof/>
          </w:rPr>
          <w:t>Descriptif de l’obligation ou de la spécificité pour le(s) commissaire(s) aux comptes / points pour attention</w:t>
        </w:r>
        <w:r w:rsidR="00282E09">
          <w:rPr>
            <w:noProof/>
            <w:webHidden/>
          </w:rPr>
          <w:tab/>
        </w:r>
        <w:r w:rsidR="00282E09">
          <w:rPr>
            <w:noProof/>
            <w:webHidden/>
          </w:rPr>
          <w:fldChar w:fldCharType="begin"/>
        </w:r>
        <w:r w:rsidR="00282E09">
          <w:rPr>
            <w:noProof/>
            <w:webHidden/>
          </w:rPr>
          <w:instrText xml:space="preserve"> PAGEREF _Toc452385992 \h </w:instrText>
        </w:r>
        <w:r w:rsidR="00282E09">
          <w:rPr>
            <w:noProof/>
            <w:webHidden/>
          </w:rPr>
        </w:r>
        <w:r w:rsidR="00282E09">
          <w:rPr>
            <w:noProof/>
            <w:webHidden/>
          </w:rPr>
          <w:fldChar w:fldCharType="separate"/>
        </w:r>
        <w:r w:rsidR="00282E09">
          <w:rPr>
            <w:noProof/>
            <w:webHidden/>
          </w:rPr>
          <w:t>19</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93" w:history="1">
        <w:r w:rsidR="00282E09" w:rsidRPr="005B4337">
          <w:rPr>
            <w:rStyle w:val="Lienhypertexte"/>
            <w:bCs/>
            <w:noProof/>
          </w:rPr>
          <w:t>3.5.</w:t>
        </w:r>
        <w:r w:rsidR="00282E09">
          <w:rPr>
            <w:rFonts w:asciiTheme="minorHAnsi" w:eastAsiaTheme="minorEastAsia" w:hAnsiTheme="minorHAnsi"/>
            <w:noProof/>
            <w:lang w:eastAsia="fr-FR"/>
          </w:rPr>
          <w:tab/>
        </w:r>
        <w:r w:rsidR="00282E09" w:rsidRPr="005B4337">
          <w:rPr>
            <w:rStyle w:val="Lienhypertexte"/>
            <w:bCs/>
            <w:noProof/>
          </w:rPr>
          <w:t>Outils disponibles</w:t>
        </w:r>
        <w:r w:rsidR="00282E09">
          <w:rPr>
            <w:noProof/>
            <w:webHidden/>
          </w:rPr>
          <w:tab/>
        </w:r>
        <w:r w:rsidR="00282E09">
          <w:rPr>
            <w:noProof/>
            <w:webHidden/>
          </w:rPr>
          <w:fldChar w:fldCharType="begin"/>
        </w:r>
        <w:r w:rsidR="00282E09">
          <w:rPr>
            <w:noProof/>
            <w:webHidden/>
          </w:rPr>
          <w:instrText xml:space="preserve"> PAGEREF _Toc452385993 \h </w:instrText>
        </w:r>
        <w:r w:rsidR="00282E09">
          <w:rPr>
            <w:noProof/>
            <w:webHidden/>
          </w:rPr>
        </w:r>
        <w:r w:rsidR="00282E09">
          <w:rPr>
            <w:noProof/>
            <w:webHidden/>
          </w:rPr>
          <w:fldChar w:fldCharType="separate"/>
        </w:r>
        <w:r w:rsidR="00282E09">
          <w:rPr>
            <w:noProof/>
            <w:webHidden/>
          </w:rPr>
          <w:t>19</w:t>
        </w:r>
        <w:r w:rsidR="00282E09">
          <w:rPr>
            <w:noProof/>
            <w:webHidden/>
          </w:rPr>
          <w:fldChar w:fldCharType="end"/>
        </w:r>
      </w:hyperlink>
    </w:p>
    <w:p w:rsidR="00282E09" w:rsidRDefault="00AF58A5">
      <w:pPr>
        <w:pStyle w:val="TM2"/>
        <w:tabs>
          <w:tab w:val="left" w:pos="660"/>
          <w:tab w:val="right" w:leader="dot" w:pos="9060"/>
        </w:tabs>
        <w:rPr>
          <w:rFonts w:asciiTheme="minorHAnsi" w:eastAsiaTheme="minorEastAsia" w:hAnsiTheme="minorHAnsi"/>
          <w:noProof/>
          <w:lang w:eastAsia="fr-FR"/>
        </w:rPr>
      </w:pPr>
      <w:hyperlink w:anchor="_Toc452385994" w:history="1">
        <w:r w:rsidR="00282E09" w:rsidRPr="005B4337">
          <w:rPr>
            <w:rStyle w:val="Lienhypertexte"/>
            <w:noProof/>
          </w:rPr>
          <w:t>4.</w:t>
        </w:r>
        <w:r w:rsidR="00282E09">
          <w:rPr>
            <w:rFonts w:asciiTheme="minorHAnsi" w:eastAsiaTheme="minorEastAsia" w:hAnsiTheme="minorHAnsi"/>
            <w:noProof/>
            <w:lang w:eastAsia="fr-FR"/>
          </w:rPr>
          <w:tab/>
        </w:r>
        <w:r w:rsidR="00282E09" w:rsidRPr="005B4337">
          <w:rPr>
            <w:rStyle w:val="Lienhypertexte"/>
            <w:noProof/>
          </w:rPr>
          <w:t>LISTE D’INITIES</w:t>
        </w:r>
        <w:r w:rsidR="00282E09">
          <w:rPr>
            <w:noProof/>
            <w:webHidden/>
          </w:rPr>
          <w:tab/>
        </w:r>
        <w:r w:rsidR="00282E09">
          <w:rPr>
            <w:noProof/>
            <w:webHidden/>
          </w:rPr>
          <w:fldChar w:fldCharType="begin"/>
        </w:r>
        <w:r w:rsidR="00282E09">
          <w:rPr>
            <w:noProof/>
            <w:webHidden/>
          </w:rPr>
          <w:instrText xml:space="preserve"> PAGEREF _Toc452385994 \h </w:instrText>
        </w:r>
        <w:r w:rsidR="00282E09">
          <w:rPr>
            <w:noProof/>
            <w:webHidden/>
          </w:rPr>
        </w:r>
        <w:r w:rsidR="00282E09">
          <w:rPr>
            <w:noProof/>
            <w:webHidden/>
          </w:rPr>
          <w:fldChar w:fldCharType="separate"/>
        </w:r>
        <w:r w:rsidR="00282E09">
          <w:rPr>
            <w:noProof/>
            <w:webHidden/>
          </w:rPr>
          <w:t>19</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95" w:history="1">
        <w:r w:rsidR="00282E09" w:rsidRPr="005B4337">
          <w:rPr>
            <w:rStyle w:val="Lienhypertexte"/>
            <w:noProof/>
          </w:rPr>
          <w:t>4.1.</w:t>
        </w:r>
        <w:r w:rsidR="00282E09">
          <w:rPr>
            <w:rFonts w:asciiTheme="minorHAnsi" w:eastAsiaTheme="minorEastAsia" w:hAnsiTheme="minorHAnsi"/>
            <w:noProof/>
            <w:lang w:eastAsia="fr-FR"/>
          </w:rPr>
          <w:tab/>
        </w:r>
        <w:r w:rsidR="00282E09" w:rsidRPr="005B4337">
          <w:rPr>
            <w:rStyle w:val="Lienhypertexte"/>
            <w:noProof/>
          </w:rPr>
          <w:t>Textes de référence</w:t>
        </w:r>
        <w:r w:rsidR="00282E09">
          <w:rPr>
            <w:noProof/>
            <w:webHidden/>
          </w:rPr>
          <w:tab/>
        </w:r>
        <w:r w:rsidR="00282E09">
          <w:rPr>
            <w:noProof/>
            <w:webHidden/>
          </w:rPr>
          <w:fldChar w:fldCharType="begin"/>
        </w:r>
        <w:r w:rsidR="00282E09">
          <w:rPr>
            <w:noProof/>
            <w:webHidden/>
          </w:rPr>
          <w:instrText xml:space="preserve"> PAGEREF _Toc452385995 \h </w:instrText>
        </w:r>
        <w:r w:rsidR="00282E09">
          <w:rPr>
            <w:noProof/>
            <w:webHidden/>
          </w:rPr>
        </w:r>
        <w:r w:rsidR="00282E09">
          <w:rPr>
            <w:noProof/>
            <w:webHidden/>
          </w:rPr>
          <w:fldChar w:fldCharType="separate"/>
        </w:r>
        <w:r w:rsidR="00282E09">
          <w:rPr>
            <w:noProof/>
            <w:webHidden/>
          </w:rPr>
          <w:t>19</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96" w:history="1">
        <w:r w:rsidR="00282E09" w:rsidRPr="005B4337">
          <w:rPr>
            <w:rStyle w:val="Lienhypertexte"/>
            <w:noProof/>
          </w:rPr>
          <w:t>4.2.</w:t>
        </w:r>
        <w:r w:rsidR="00282E09">
          <w:rPr>
            <w:rFonts w:asciiTheme="minorHAnsi" w:eastAsiaTheme="minorEastAsia" w:hAnsiTheme="minorHAnsi"/>
            <w:noProof/>
            <w:lang w:eastAsia="fr-FR"/>
          </w:rPr>
          <w:tab/>
        </w:r>
        <w:r w:rsidR="00282E09" w:rsidRPr="005B4337">
          <w:rPr>
            <w:rStyle w:val="Lienhypertexte"/>
            <w:noProof/>
          </w:rPr>
          <w:t>Descriptif de l’obligation ou de la spécificité pour l’émetteur</w:t>
        </w:r>
        <w:r w:rsidR="00282E09">
          <w:rPr>
            <w:noProof/>
            <w:webHidden/>
          </w:rPr>
          <w:tab/>
        </w:r>
        <w:r w:rsidR="00282E09">
          <w:rPr>
            <w:noProof/>
            <w:webHidden/>
          </w:rPr>
          <w:fldChar w:fldCharType="begin"/>
        </w:r>
        <w:r w:rsidR="00282E09">
          <w:rPr>
            <w:noProof/>
            <w:webHidden/>
          </w:rPr>
          <w:instrText xml:space="preserve"> PAGEREF _Toc452385996 \h </w:instrText>
        </w:r>
        <w:r w:rsidR="00282E09">
          <w:rPr>
            <w:noProof/>
            <w:webHidden/>
          </w:rPr>
        </w:r>
        <w:r w:rsidR="00282E09">
          <w:rPr>
            <w:noProof/>
            <w:webHidden/>
          </w:rPr>
          <w:fldChar w:fldCharType="separate"/>
        </w:r>
        <w:r w:rsidR="00282E09">
          <w:rPr>
            <w:noProof/>
            <w:webHidden/>
          </w:rPr>
          <w:t>20</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97" w:history="1">
        <w:r w:rsidR="00282E09" w:rsidRPr="005B4337">
          <w:rPr>
            <w:rStyle w:val="Lienhypertexte"/>
            <w:noProof/>
          </w:rPr>
          <w:t>4.3.</w:t>
        </w:r>
        <w:r w:rsidR="00282E09">
          <w:rPr>
            <w:rFonts w:asciiTheme="minorHAnsi" w:eastAsiaTheme="minorEastAsia" w:hAnsiTheme="minorHAnsi"/>
            <w:noProof/>
            <w:lang w:eastAsia="fr-FR"/>
          </w:rPr>
          <w:tab/>
        </w:r>
        <w:r w:rsidR="00282E09" w:rsidRPr="005B4337">
          <w:rPr>
            <w:rStyle w:val="Lienhypertexte"/>
            <w:noProof/>
          </w:rPr>
          <w:t>Descriptif de l’obligation ou de la spécificité pour le(s) commissaire(s) aux comptes / points pour attention</w:t>
        </w:r>
        <w:r w:rsidR="00282E09">
          <w:rPr>
            <w:noProof/>
            <w:webHidden/>
          </w:rPr>
          <w:tab/>
        </w:r>
        <w:r w:rsidR="00282E09">
          <w:rPr>
            <w:noProof/>
            <w:webHidden/>
          </w:rPr>
          <w:fldChar w:fldCharType="begin"/>
        </w:r>
        <w:r w:rsidR="00282E09">
          <w:rPr>
            <w:noProof/>
            <w:webHidden/>
          </w:rPr>
          <w:instrText xml:space="preserve"> PAGEREF _Toc452385997 \h </w:instrText>
        </w:r>
        <w:r w:rsidR="00282E09">
          <w:rPr>
            <w:noProof/>
            <w:webHidden/>
          </w:rPr>
        </w:r>
        <w:r w:rsidR="00282E09">
          <w:rPr>
            <w:noProof/>
            <w:webHidden/>
          </w:rPr>
          <w:fldChar w:fldCharType="separate"/>
        </w:r>
        <w:r w:rsidR="00282E09">
          <w:rPr>
            <w:noProof/>
            <w:webHidden/>
          </w:rPr>
          <w:t>20</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5998" w:history="1">
        <w:r w:rsidR="00282E09" w:rsidRPr="005B4337">
          <w:rPr>
            <w:rStyle w:val="Lienhypertexte"/>
            <w:noProof/>
          </w:rPr>
          <w:t>4.4.</w:t>
        </w:r>
        <w:r w:rsidR="00282E09">
          <w:rPr>
            <w:rFonts w:asciiTheme="minorHAnsi" w:eastAsiaTheme="minorEastAsia" w:hAnsiTheme="minorHAnsi"/>
            <w:noProof/>
            <w:lang w:eastAsia="fr-FR"/>
          </w:rPr>
          <w:tab/>
        </w:r>
        <w:r w:rsidR="00282E09" w:rsidRPr="005B4337">
          <w:rPr>
            <w:rStyle w:val="Lienhypertexte"/>
            <w:noProof/>
          </w:rPr>
          <w:t>Outils disponibles</w:t>
        </w:r>
        <w:r w:rsidR="00282E09">
          <w:rPr>
            <w:noProof/>
            <w:webHidden/>
          </w:rPr>
          <w:tab/>
        </w:r>
        <w:r w:rsidR="00282E09">
          <w:rPr>
            <w:noProof/>
            <w:webHidden/>
          </w:rPr>
          <w:fldChar w:fldCharType="begin"/>
        </w:r>
        <w:r w:rsidR="00282E09">
          <w:rPr>
            <w:noProof/>
            <w:webHidden/>
          </w:rPr>
          <w:instrText xml:space="preserve"> PAGEREF _Toc452385998 \h </w:instrText>
        </w:r>
        <w:r w:rsidR="00282E09">
          <w:rPr>
            <w:noProof/>
            <w:webHidden/>
          </w:rPr>
        </w:r>
        <w:r w:rsidR="00282E09">
          <w:rPr>
            <w:noProof/>
            <w:webHidden/>
          </w:rPr>
          <w:fldChar w:fldCharType="separate"/>
        </w:r>
        <w:r w:rsidR="00282E09">
          <w:rPr>
            <w:noProof/>
            <w:webHidden/>
          </w:rPr>
          <w:t>20</w:t>
        </w:r>
        <w:r w:rsidR="00282E09">
          <w:rPr>
            <w:noProof/>
            <w:webHidden/>
          </w:rPr>
          <w:fldChar w:fldCharType="end"/>
        </w:r>
      </w:hyperlink>
    </w:p>
    <w:p w:rsidR="00282E09" w:rsidRDefault="00AF58A5">
      <w:pPr>
        <w:pStyle w:val="TM2"/>
        <w:tabs>
          <w:tab w:val="left" w:pos="660"/>
          <w:tab w:val="right" w:leader="dot" w:pos="9060"/>
        </w:tabs>
        <w:rPr>
          <w:rFonts w:asciiTheme="minorHAnsi" w:eastAsiaTheme="minorEastAsia" w:hAnsiTheme="minorHAnsi"/>
          <w:noProof/>
          <w:lang w:eastAsia="fr-FR"/>
        </w:rPr>
      </w:pPr>
      <w:hyperlink w:anchor="_Toc452385999" w:history="1">
        <w:r w:rsidR="00282E09" w:rsidRPr="005B4337">
          <w:rPr>
            <w:rStyle w:val="Lienhypertexte"/>
            <w:noProof/>
          </w:rPr>
          <w:t>5.</w:t>
        </w:r>
        <w:r w:rsidR="00282E09">
          <w:rPr>
            <w:rFonts w:asciiTheme="minorHAnsi" w:eastAsiaTheme="minorEastAsia" w:hAnsiTheme="minorHAnsi"/>
            <w:noProof/>
            <w:lang w:eastAsia="fr-FR"/>
          </w:rPr>
          <w:tab/>
        </w:r>
        <w:r w:rsidR="00282E09" w:rsidRPr="005B4337">
          <w:rPr>
            <w:rStyle w:val="Lienhypertexte"/>
            <w:noProof/>
          </w:rPr>
          <w:t>MARCHE REGLEMENTE : COMPARTIMENT D’EURONEXT DESTINE AUX ADMISSIONS SANS OFFRE PREALABLE AU PUBLIC</w:t>
        </w:r>
        <w:r w:rsidR="00282E09">
          <w:rPr>
            <w:noProof/>
            <w:webHidden/>
          </w:rPr>
          <w:tab/>
        </w:r>
        <w:r w:rsidR="00282E09">
          <w:rPr>
            <w:noProof/>
            <w:webHidden/>
          </w:rPr>
          <w:fldChar w:fldCharType="begin"/>
        </w:r>
        <w:r w:rsidR="00282E09">
          <w:rPr>
            <w:noProof/>
            <w:webHidden/>
          </w:rPr>
          <w:instrText xml:space="preserve"> PAGEREF _Toc452385999 \h </w:instrText>
        </w:r>
        <w:r w:rsidR="00282E09">
          <w:rPr>
            <w:noProof/>
            <w:webHidden/>
          </w:rPr>
        </w:r>
        <w:r w:rsidR="00282E09">
          <w:rPr>
            <w:noProof/>
            <w:webHidden/>
          </w:rPr>
          <w:fldChar w:fldCharType="separate"/>
        </w:r>
        <w:r w:rsidR="00282E09">
          <w:rPr>
            <w:noProof/>
            <w:webHidden/>
          </w:rPr>
          <w:t>21</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6000" w:history="1">
        <w:r w:rsidR="00282E09" w:rsidRPr="005B4337">
          <w:rPr>
            <w:rStyle w:val="Lienhypertexte"/>
            <w:bCs/>
            <w:noProof/>
          </w:rPr>
          <w:t>5.1.</w:t>
        </w:r>
        <w:r w:rsidR="00282E09">
          <w:rPr>
            <w:rFonts w:asciiTheme="minorHAnsi" w:eastAsiaTheme="minorEastAsia" w:hAnsiTheme="minorHAnsi"/>
            <w:noProof/>
            <w:lang w:eastAsia="fr-FR"/>
          </w:rPr>
          <w:tab/>
        </w:r>
        <w:r w:rsidR="00282E09" w:rsidRPr="005B4337">
          <w:rPr>
            <w:rStyle w:val="Lienhypertexte"/>
            <w:bCs/>
            <w:noProof/>
          </w:rPr>
          <w:t>Textes de référence</w:t>
        </w:r>
        <w:r w:rsidR="00282E09">
          <w:rPr>
            <w:noProof/>
            <w:webHidden/>
          </w:rPr>
          <w:tab/>
        </w:r>
        <w:r w:rsidR="00282E09">
          <w:rPr>
            <w:noProof/>
            <w:webHidden/>
          </w:rPr>
          <w:fldChar w:fldCharType="begin"/>
        </w:r>
        <w:r w:rsidR="00282E09">
          <w:rPr>
            <w:noProof/>
            <w:webHidden/>
          </w:rPr>
          <w:instrText xml:space="preserve"> PAGEREF _Toc452386000 \h </w:instrText>
        </w:r>
        <w:r w:rsidR="00282E09">
          <w:rPr>
            <w:noProof/>
            <w:webHidden/>
          </w:rPr>
        </w:r>
        <w:r w:rsidR="00282E09">
          <w:rPr>
            <w:noProof/>
            <w:webHidden/>
          </w:rPr>
          <w:fldChar w:fldCharType="separate"/>
        </w:r>
        <w:r w:rsidR="00282E09">
          <w:rPr>
            <w:noProof/>
            <w:webHidden/>
          </w:rPr>
          <w:t>21</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6001" w:history="1">
        <w:r w:rsidR="00282E09" w:rsidRPr="005B4337">
          <w:rPr>
            <w:rStyle w:val="Lienhypertexte"/>
            <w:bCs/>
            <w:noProof/>
          </w:rPr>
          <w:t>5.2.</w:t>
        </w:r>
        <w:r w:rsidR="00282E09">
          <w:rPr>
            <w:rFonts w:asciiTheme="minorHAnsi" w:eastAsiaTheme="minorEastAsia" w:hAnsiTheme="minorHAnsi"/>
            <w:noProof/>
            <w:lang w:eastAsia="fr-FR"/>
          </w:rPr>
          <w:tab/>
        </w:r>
        <w:r w:rsidR="00282E09" w:rsidRPr="005B4337">
          <w:rPr>
            <w:rStyle w:val="Lienhypertexte"/>
            <w:bCs/>
            <w:noProof/>
          </w:rPr>
          <w:t>Descriptif de l’obligation ou de la spécificité pour l’émetteur</w:t>
        </w:r>
        <w:r w:rsidR="00282E09">
          <w:rPr>
            <w:noProof/>
            <w:webHidden/>
          </w:rPr>
          <w:tab/>
        </w:r>
        <w:r w:rsidR="00282E09">
          <w:rPr>
            <w:noProof/>
            <w:webHidden/>
          </w:rPr>
          <w:fldChar w:fldCharType="begin"/>
        </w:r>
        <w:r w:rsidR="00282E09">
          <w:rPr>
            <w:noProof/>
            <w:webHidden/>
          </w:rPr>
          <w:instrText xml:space="preserve"> PAGEREF _Toc452386001 \h </w:instrText>
        </w:r>
        <w:r w:rsidR="00282E09">
          <w:rPr>
            <w:noProof/>
            <w:webHidden/>
          </w:rPr>
        </w:r>
        <w:r w:rsidR="00282E09">
          <w:rPr>
            <w:noProof/>
            <w:webHidden/>
          </w:rPr>
          <w:fldChar w:fldCharType="separate"/>
        </w:r>
        <w:r w:rsidR="00282E09">
          <w:rPr>
            <w:noProof/>
            <w:webHidden/>
          </w:rPr>
          <w:t>21</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6002" w:history="1">
        <w:r w:rsidR="00282E09" w:rsidRPr="005B4337">
          <w:rPr>
            <w:rStyle w:val="Lienhypertexte"/>
            <w:bCs/>
            <w:noProof/>
          </w:rPr>
          <w:t>5.3.</w:t>
        </w:r>
        <w:r w:rsidR="00282E09">
          <w:rPr>
            <w:rFonts w:asciiTheme="minorHAnsi" w:eastAsiaTheme="minorEastAsia" w:hAnsiTheme="minorHAnsi"/>
            <w:noProof/>
            <w:lang w:eastAsia="fr-FR"/>
          </w:rPr>
          <w:tab/>
        </w:r>
        <w:r w:rsidR="00282E09" w:rsidRPr="005B4337">
          <w:rPr>
            <w:rStyle w:val="Lienhypertexte"/>
            <w:bCs/>
            <w:noProof/>
          </w:rPr>
          <w:t>Descriptif de l’obligation ou de la spécificité pour le(s) commissaire(s) aux comptes / points pour attention</w:t>
        </w:r>
        <w:r w:rsidR="00282E09">
          <w:rPr>
            <w:noProof/>
            <w:webHidden/>
          </w:rPr>
          <w:tab/>
        </w:r>
        <w:r w:rsidR="00282E09">
          <w:rPr>
            <w:noProof/>
            <w:webHidden/>
          </w:rPr>
          <w:fldChar w:fldCharType="begin"/>
        </w:r>
        <w:r w:rsidR="00282E09">
          <w:rPr>
            <w:noProof/>
            <w:webHidden/>
          </w:rPr>
          <w:instrText xml:space="preserve"> PAGEREF _Toc452386002 \h </w:instrText>
        </w:r>
        <w:r w:rsidR="00282E09">
          <w:rPr>
            <w:noProof/>
            <w:webHidden/>
          </w:rPr>
        </w:r>
        <w:r w:rsidR="00282E09">
          <w:rPr>
            <w:noProof/>
            <w:webHidden/>
          </w:rPr>
          <w:fldChar w:fldCharType="separate"/>
        </w:r>
        <w:r w:rsidR="00282E09">
          <w:rPr>
            <w:noProof/>
            <w:webHidden/>
          </w:rPr>
          <w:t>22</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6003" w:history="1">
        <w:r w:rsidR="00282E09" w:rsidRPr="005B4337">
          <w:rPr>
            <w:rStyle w:val="Lienhypertexte"/>
            <w:bCs/>
            <w:noProof/>
          </w:rPr>
          <w:t>5.4.</w:t>
        </w:r>
        <w:r w:rsidR="00282E09">
          <w:rPr>
            <w:rFonts w:asciiTheme="minorHAnsi" w:eastAsiaTheme="minorEastAsia" w:hAnsiTheme="minorHAnsi"/>
            <w:noProof/>
            <w:lang w:eastAsia="fr-FR"/>
          </w:rPr>
          <w:tab/>
        </w:r>
        <w:r w:rsidR="00282E09" w:rsidRPr="005B4337">
          <w:rPr>
            <w:rStyle w:val="Lienhypertexte"/>
            <w:bCs/>
            <w:noProof/>
          </w:rPr>
          <w:t>Outils disponibles</w:t>
        </w:r>
        <w:r w:rsidR="00282E09">
          <w:rPr>
            <w:noProof/>
            <w:webHidden/>
          </w:rPr>
          <w:tab/>
        </w:r>
        <w:r w:rsidR="00282E09">
          <w:rPr>
            <w:noProof/>
            <w:webHidden/>
          </w:rPr>
          <w:fldChar w:fldCharType="begin"/>
        </w:r>
        <w:r w:rsidR="00282E09">
          <w:rPr>
            <w:noProof/>
            <w:webHidden/>
          </w:rPr>
          <w:instrText xml:space="preserve"> PAGEREF _Toc452386003 \h </w:instrText>
        </w:r>
        <w:r w:rsidR="00282E09">
          <w:rPr>
            <w:noProof/>
            <w:webHidden/>
          </w:rPr>
        </w:r>
        <w:r w:rsidR="00282E09">
          <w:rPr>
            <w:noProof/>
            <w:webHidden/>
          </w:rPr>
          <w:fldChar w:fldCharType="separate"/>
        </w:r>
        <w:r w:rsidR="00282E09">
          <w:rPr>
            <w:noProof/>
            <w:webHidden/>
          </w:rPr>
          <w:t>22</w:t>
        </w:r>
        <w:r w:rsidR="00282E09">
          <w:rPr>
            <w:noProof/>
            <w:webHidden/>
          </w:rPr>
          <w:fldChar w:fldCharType="end"/>
        </w:r>
      </w:hyperlink>
    </w:p>
    <w:p w:rsidR="00282E09" w:rsidRDefault="00AF58A5">
      <w:pPr>
        <w:pStyle w:val="TM2"/>
        <w:tabs>
          <w:tab w:val="left" w:pos="660"/>
          <w:tab w:val="right" w:leader="dot" w:pos="9060"/>
        </w:tabs>
        <w:rPr>
          <w:rFonts w:asciiTheme="minorHAnsi" w:eastAsiaTheme="minorEastAsia" w:hAnsiTheme="minorHAnsi"/>
          <w:noProof/>
          <w:lang w:eastAsia="fr-FR"/>
        </w:rPr>
      </w:pPr>
      <w:hyperlink w:anchor="_Toc452386004" w:history="1">
        <w:r w:rsidR="00282E09" w:rsidRPr="005B4337">
          <w:rPr>
            <w:rStyle w:val="Lienhypertexte"/>
            <w:noProof/>
          </w:rPr>
          <w:t>6.</w:t>
        </w:r>
        <w:r w:rsidR="00282E09">
          <w:rPr>
            <w:rFonts w:asciiTheme="minorHAnsi" w:eastAsiaTheme="minorEastAsia" w:hAnsiTheme="minorHAnsi"/>
            <w:noProof/>
            <w:lang w:eastAsia="fr-FR"/>
          </w:rPr>
          <w:tab/>
        </w:r>
        <w:r w:rsidR="00282E09" w:rsidRPr="005B4337">
          <w:rPr>
            <w:rStyle w:val="Lienhypertexte"/>
            <w:noProof/>
          </w:rPr>
          <w:t>DIFFUSION DE L’INFORMATION REGLEMENTEE</w:t>
        </w:r>
        <w:r w:rsidR="00282E09">
          <w:rPr>
            <w:noProof/>
            <w:webHidden/>
          </w:rPr>
          <w:tab/>
        </w:r>
        <w:r w:rsidR="00282E09">
          <w:rPr>
            <w:noProof/>
            <w:webHidden/>
          </w:rPr>
          <w:fldChar w:fldCharType="begin"/>
        </w:r>
        <w:r w:rsidR="00282E09">
          <w:rPr>
            <w:noProof/>
            <w:webHidden/>
          </w:rPr>
          <w:instrText xml:space="preserve"> PAGEREF _Toc452386004 \h </w:instrText>
        </w:r>
        <w:r w:rsidR="00282E09">
          <w:rPr>
            <w:noProof/>
            <w:webHidden/>
          </w:rPr>
        </w:r>
        <w:r w:rsidR="00282E09">
          <w:rPr>
            <w:noProof/>
            <w:webHidden/>
          </w:rPr>
          <w:fldChar w:fldCharType="separate"/>
        </w:r>
        <w:r w:rsidR="00282E09">
          <w:rPr>
            <w:noProof/>
            <w:webHidden/>
          </w:rPr>
          <w:t>22</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6005" w:history="1">
        <w:r w:rsidR="00282E09" w:rsidRPr="005B4337">
          <w:rPr>
            <w:rStyle w:val="Lienhypertexte"/>
            <w:bCs/>
            <w:noProof/>
          </w:rPr>
          <w:t>6.1.</w:t>
        </w:r>
        <w:r w:rsidR="00282E09">
          <w:rPr>
            <w:rFonts w:asciiTheme="minorHAnsi" w:eastAsiaTheme="minorEastAsia" w:hAnsiTheme="minorHAnsi"/>
            <w:noProof/>
            <w:lang w:eastAsia="fr-FR"/>
          </w:rPr>
          <w:tab/>
        </w:r>
        <w:r w:rsidR="00282E09" w:rsidRPr="005B4337">
          <w:rPr>
            <w:rStyle w:val="Lienhypertexte"/>
            <w:bCs/>
            <w:noProof/>
          </w:rPr>
          <w:t>Textes de référence</w:t>
        </w:r>
        <w:r w:rsidR="00282E09">
          <w:rPr>
            <w:noProof/>
            <w:webHidden/>
          </w:rPr>
          <w:tab/>
        </w:r>
        <w:r w:rsidR="00282E09">
          <w:rPr>
            <w:noProof/>
            <w:webHidden/>
          </w:rPr>
          <w:fldChar w:fldCharType="begin"/>
        </w:r>
        <w:r w:rsidR="00282E09">
          <w:rPr>
            <w:noProof/>
            <w:webHidden/>
          </w:rPr>
          <w:instrText xml:space="preserve"> PAGEREF _Toc452386005 \h </w:instrText>
        </w:r>
        <w:r w:rsidR="00282E09">
          <w:rPr>
            <w:noProof/>
            <w:webHidden/>
          </w:rPr>
        </w:r>
        <w:r w:rsidR="00282E09">
          <w:rPr>
            <w:noProof/>
            <w:webHidden/>
          </w:rPr>
          <w:fldChar w:fldCharType="separate"/>
        </w:r>
        <w:r w:rsidR="00282E09">
          <w:rPr>
            <w:noProof/>
            <w:webHidden/>
          </w:rPr>
          <w:t>22</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6006" w:history="1">
        <w:r w:rsidR="00282E09" w:rsidRPr="005B4337">
          <w:rPr>
            <w:rStyle w:val="Lienhypertexte"/>
            <w:bCs/>
            <w:noProof/>
          </w:rPr>
          <w:t>6.2.</w:t>
        </w:r>
        <w:r w:rsidR="00282E09">
          <w:rPr>
            <w:rFonts w:asciiTheme="minorHAnsi" w:eastAsiaTheme="minorEastAsia" w:hAnsiTheme="minorHAnsi"/>
            <w:noProof/>
            <w:lang w:eastAsia="fr-FR"/>
          </w:rPr>
          <w:tab/>
        </w:r>
        <w:r w:rsidR="00282E09" w:rsidRPr="005B4337">
          <w:rPr>
            <w:rStyle w:val="Lienhypertexte"/>
            <w:bCs/>
            <w:noProof/>
          </w:rPr>
          <w:t>Descriptif de l’obligation ou de la spécificité pour l’émetteur</w:t>
        </w:r>
        <w:r w:rsidR="00282E09">
          <w:rPr>
            <w:noProof/>
            <w:webHidden/>
          </w:rPr>
          <w:tab/>
        </w:r>
        <w:r w:rsidR="00282E09">
          <w:rPr>
            <w:noProof/>
            <w:webHidden/>
          </w:rPr>
          <w:fldChar w:fldCharType="begin"/>
        </w:r>
        <w:r w:rsidR="00282E09">
          <w:rPr>
            <w:noProof/>
            <w:webHidden/>
          </w:rPr>
          <w:instrText xml:space="preserve"> PAGEREF _Toc452386006 \h </w:instrText>
        </w:r>
        <w:r w:rsidR="00282E09">
          <w:rPr>
            <w:noProof/>
            <w:webHidden/>
          </w:rPr>
        </w:r>
        <w:r w:rsidR="00282E09">
          <w:rPr>
            <w:noProof/>
            <w:webHidden/>
          </w:rPr>
          <w:fldChar w:fldCharType="separate"/>
        </w:r>
        <w:r w:rsidR="00282E09">
          <w:rPr>
            <w:noProof/>
            <w:webHidden/>
          </w:rPr>
          <w:t>22</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6007" w:history="1">
        <w:r w:rsidR="00282E09" w:rsidRPr="005B4337">
          <w:rPr>
            <w:rStyle w:val="Lienhypertexte"/>
            <w:bCs/>
            <w:noProof/>
          </w:rPr>
          <w:t>6.3.</w:t>
        </w:r>
        <w:r w:rsidR="00282E09">
          <w:rPr>
            <w:rFonts w:asciiTheme="minorHAnsi" w:eastAsiaTheme="minorEastAsia" w:hAnsiTheme="minorHAnsi"/>
            <w:noProof/>
            <w:lang w:eastAsia="fr-FR"/>
          </w:rPr>
          <w:tab/>
        </w:r>
        <w:r w:rsidR="00282E09" w:rsidRPr="005B4337">
          <w:rPr>
            <w:rStyle w:val="Lienhypertexte"/>
            <w:bCs/>
            <w:noProof/>
          </w:rPr>
          <w:t>Descriptif de l’obligation ou de la spécificité pour le(s) commissaire(s) aux comptes / points pour attention</w:t>
        </w:r>
        <w:r w:rsidR="00282E09">
          <w:rPr>
            <w:noProof/>
            <w:webHidden/>
          </w:rPr>
          <w:tab/>
        </w:r>
        <w:r w:rsidR="00282E09">
          <w:rPr>
            <w:noProof/>
            <w:webHidden/>
          </w:rPr>
          <w:fldChar w:fldCharType="begin"/>
        </w:r>
        <w:r w:rsidR="00282E09">
          <w:rPr>
            <w:noProof/>
            <w:webHidden/>
          </w:rPr>
          <w:instrText xml:space="preserve"> PAGEREF _Toc452386007 \h </w:instrText>
        </w:r>
        <w:r w:rsidR="00282E09">
          <w:rPr>
            <w:noProof/>
            <w:webHidden/>
          </w:rPr>
        </w:r>
        <w:r w:rsidR="00282E09">
          <w:rPr>
            <w:noProof/>
            <w:webHidden/>
          </w:rPr>
          <w:fldChar w:fldCharType="separate"/>
        </w:r>
        <w:r w:rsidR="00282E09">
          <w:rPr>
            <w:noProof/>
            <w:webHidden/>
          </w:rPr>
          <w:t>24</w:t>
        </w:r>
        <w:r w:rsidR="00282E09">
          <w:rPr>
            <w:noProof/>
            <w:webHidden/>
          </w:rPr>
          <w:fldChar w:fldCharType="end"/>
        </w:r>
      </w:hyperlink>
    </w:p>
    <w:p w:rsidR="00282E09" w:rsidRDefault="00AF58A5">
      <w:pPr>
        <w:pStyle w:val="TM3"/>
        <w:tabs>
          <w:tab w:val="left" w:pos="1100"/>
          <w:tab w:val="right" w:leader="dot" w:pos="9060"/>
        </w:tabs>
        <w:rPr>
          <w:rFonts w:asciiTheme="minorHAnsi" w:eastAsiaTheme="minorEastAsia" w:hAnsiTheme="minorHAnsi"/>
          <w:noProof/>
          <w:lang w:eastAsia="fr-FR"/>
        </w:rPr>
      </w:pPr>
      <w:hyperlink w:anchor="_Toc452386008" w:history="1">
        <w:r w:rsidR="00282E09" w:rsidRPr="005B4337">
          <w:rPr>
            <w:rStyle w:val="Lienhypertexte"/>
            <w:bCs/>
            <w:noProof/>
          </w:rPr>
          <w:t>6.4.</w:t>
        </w:r>
        <w:r w:rsidR="00282E09">
          <w:rPr>
            <w:rFonts w:asciiTheme="minorHAnsi" w:eastAsiaTheme="minorEastAsia" w:hAnsiTheme="minorHAnsi"/>
            <w:noProof/>
            <w:lang w:eastAsia="fr-FR"/>
          </w:rPr>
          <w:tab/>
        </w:r>
        <w:r w:rsidR="00282E09" w:rsidRPr="005B4337">
          <w:rPr>
            <w:rStyle w:val="Lienhypertexte"/>
            <w:bCs/>
            <w:noProof/>
          </w:rPr>
          <w:t>Outils disponibles</w:t>
        </w:r>
        <w:r w:rsidR="00282E09">
          <w:rPr>
            <w:noProof/>
            <w:webHidden/>
          </w:rPr>
          <w:tab/>
        </w:r>
        <w:r w:rsidR="00282E09">
          <w:rPr>
            <w:noProof/>
            <w:webHidden/>
          </w:rPr>
          <w:fldChar w:fldCharType="begin"/>
        </w:r>
        <w:r w:rsidR="00282E09">
          <w:rPr>
            <w:noProof/>
            <w:webHidden/>
          </w:rPr>
          <w:instrText xml:space="preserve"> PAGEREF _Toc452386008 \h </w:instrText>
        </w:r>
        <w:r w:rsidR="00282E09">
          <w:rPr>
            <w:noProof/>
            <w:webHidden/>
          </w:rPr>
        </w:r>
        <w:r w:rsidR="00282E09">
          <w:rPr>
            <w:noProof/>
            <w:webHidden/>
          </w:rPr>
          <w:fldChar w:fldCharType="separate"/>
        </w:r>
        <w:r w:rsidR="00282E09">
          <w:rPr>
            <w:noProof/>
            <w:webHidden/>
          </w:rPr>
          <w:t>24</w:t>
        </w:r>
        <w:r w:rsidR="00282E09">
          <w:rPr>
            <w:noProof/>
            <w:webHidden/>
          </w:rPr>
          <w:fldChar w:fldCharType="end"/>
        </w:r>
      </w:hyperlink>
    </w:p>
    <w:p w:rsidR="00282E09" w:rsidRDefault="00AF58A5">
      <w:pPr>
        <w:pStyle w:val="TM1"/>
        <w:rPr>
          <w:rFonts w:eastAsiaTheme="minorEastAsia"/>
          <w:b w:val="0"/>
          <w:color w:val="auto"/>
          <w:sz w:val="22"/>
          <w:lang w:eastAsia="fr-FR"/>
        </w:rPr>
      </w:pPr>
      <w:hyperlink w:anchor="_Toc452386009" w:history="1">
        <w:r w:rsidR="00282E09" w:rsidRPr="005B4337">
          <w:rPr>
            <w:rStyle w:val="Lienhypertexte"/>
          </w:rPr>
          <w:t>Section 400.</w:t>
        </w:r>
        <w:r w:rsidR="00282E09">
          <w:rPr>
            <w:rFonts w:eastAsiaTheme="minorEastAsia"/>
            <w:b w:val="0"/>
            <w:color w:val="auto"/>
            <w:sz w:val="22"/>
            <w:lang w:eastAsia="fr-FR"/>
          </w:rPr>
          <w:tab/>
        </w:r>
        <w:r w:rsidR="00282E09" w:rsidRPr="005B4337">
          <w:rPr>
            <w:rStyle w:val="Lienhypertexte"/>
          </w:rPr>
          <w:t>RAPPORT DE TRANSPARENCE</w:t>
        </w:r>
        <w:r w:rsidR="00282E09">
          <w:rPr>
            <w:webHidden/>
          </w:rPr>
          <w:tab/>
        </w:r>
        <w:r w:rsidR="00282E09">
          <w:rPr>
            <w:webHidden/>
          </w:rPr>
          <w:fldChar w:fldCharType="begin"/>
        </w:r>
        <w:r w:rsidR="00282E09">
          <w:rPr>
            <w:webHidden/>
          </w:rPr>
          <w:instrText xml:space="preserve"> PAGEREF _Toc452386009 \h </w:instrText>
        </w:r>
        <w:r w:rsidR="00282E09">
          <w:rPr>
            <w:webHidden/>
          </w:rPr>
        </w:r>
        <w:r w:rsidR="00282E09">
          <w:rPr>
            <w:webHidden/>
          </w:rPr>
          <w:fldChar w:fldCharType="separate"/>
        </w:r>
        <w:r w:rsidR="00282E09">
          <w:rPr>
            <w:webHidden/>
          </w:rPr>
          <w:t>24</w:t>
        </w:r>
        <w:r w:rsidR="00282E09">
          <w:rPr>
            <w:webHidden/>
          </w:rPr>
          <w:fldChar w:fldCharType="end"/>
        </w:r>
      </w:hyperlink>
    </w:p>
    <w:p w:rsidR="00282E09" w:rsidRDefault="00AF58A5">
      <w:pPr>
        <w:pStyle w:val="TM2"/>
        <w:tabs>
          <w:tab w:val="left" w:pos="660"/>
          <w:tab w:val="right" w:leader="dot" w:pos="9060"/>
        </w:tabs>
        <w:rPr>
          <w:rFonts w:asciiTheme="minorHAnsi" w:eastAsiaTheme="minorEastAsia" w:hAnsiTheme="minorHAnsi"/>
          <w:noProof/>
          <w:lang w:eastAsia="fr-FR"/>
        </w:rPr>
      </w:pPr>
      <w:hyperlink w:anchor="_Toc452386010" w:history="1">
        <w:r w:rsidR="00282E09" w:rsidRPr="005B4337">
          <w:rPr>
            <w:rStyle w:val="Lienhypertexte"/>
            <w:bCs/>
            <w:noProof/>
          </w:rPr>
          <w:t>1.</w:t>
        </w:r>
        <w:r w:rsidR="00282E09">
          <w:rPr>
            <w:rFonts w:asciiTheme="minorHAnsi" w:eastAsiaTheme="minorEastAsia" w:hAnsiTheme="minorHAnsi"/>
            <w:noProof/>
            <w:lang w:eastAsia="fr-FR"/>
          </w:rPr>
          <w:tab/>
        </w:r>
        <w:r w:rsidR="00282E09" w:rsidRPr="005B4337">
          <w:rPr>
            <w:rStyle w:val="Lienhypertexte"/>
            <w:bCs/>
            <w:noProof/>
          </w:rPr>
          <w:t>TEXTES DE REFERENCE</w:t>
        </w:r>
        <w:r w:rsidR="00282E09">
          <w:rPr>
            <w:noProof/>
            <w:webHidden/>
          </w:rPr>
          <w:tab/>
        </w:r>
        <w:r w:rsidR="00282E09">
          <w:rPr>
            <w:noProof/>
            <w:webHidden/>
          </w:rPr>
          <w:fldChar w:fldCharType="begin"/>
        </w:r>
        <w:r w:rsidR="00282E09">
          <w:rPr>
            <w:noProof/>
            <w:webHidden/>
          </w:rPr>
          <w:instrText xml:space="preserve"> PAGEREF _Toc452386010 \h </w:instrText>
        </w:r>
        <w:r w:rsidR="00282E09">
          <w:rPr>
            <w:noProof/>
            <w:webHidden/>
          </w:rPr>
        </w:r>
        <w:r w:rsidR="00282E09">
          <w:rPr>
            <w:noProof/>
            <w:webHidden/>
          </w:rPr>
          <w:fldChar w:fldCharType="separate"/>
        </w:r>
        <w:r w:rsidR="00282E09">
          <w:rPr>
            <w:noProof/>
            <w:webHidden/>
          </w:rPr>
          <w:t>24</w:t>
        </w:r>
        <w:r w:rsidR="00282E09">
          <w:rPr>
            <w:noProof/>
            <w:webHidden/>
          </w:rPr>
          <w:fldChar w:fldCharType="end"/>
        </w:r>
      </w:hyperlink>
    </w:p>
    <w:p w:rsidR="00282E09" w:rsidRDefault="00AF58A5">
      <w:pPr>
        <w:pStyle w:val="TM2"/>
        <w:tabs>
          <w:tab w:val="left" w:pos="660"/>
          <w:tab w:val="right" w:leader="dot" w:pos="9060"/>
        </w:tabs>
        <w:rPr>
          <w:rFonts w:asciiTheme="minorHAnsi" w:eastAsiaTheme="minorEastAsia" w:hAnsiTheme="minorHAnsi"/>
          <w:noProof/>
          <w:lang w:eastAsia="fr-FR"/>
        </w:rPr>
      </w:pPr>
      <w:hyperlink w:anchor="_Toc452386011" w:history="1">
        <w:r w:rsidR="00282E09" w:rsidRPr="005B4337">
          <w:rPr>
            <w:rStyle w:val="Lienhypertexte"/>
            <w:bCs/>
            <w:noProof/>
          </w:rPr>
          <w:t>2.</w:t>
        </w:r>
        <w:r w:rsidR="00282E09">
          <w:rPr>
            <w:rFonts w:asciiTheme="minorHAnsi" w:eastAsiaTheme="minorEastAsia" w:hAnsiTheme="minorHAnsi"/>
            <w:noProof/>
            <w:lang w:eastAsia="fr-FR"/>
          </w:rPr>
          <w:tab/>
        </w:r>
        <w:r w:rsidR="00282E09" w:rsidRPr="005B4337">
          <w:rPr>
            <w:rStyle w:val="Lienhypertexte"/>
            <w:bCs/>
            <w:noProof/>
          </w:rPr>
          <w:t>DESCRIPTIF DE L’OBLIGATION OU DE LA SPECIFICITE POUR L’EMETTEUR</w:t>
        </w:r>
        <w:r w:rsidR="00282E09">
          <w:rPr>
            <w:noProof/>
            <w:webHidden/>
          </w:rPr>
          <w:tab/>
        </w:r>
        <w:r w:rsidR="00282E09">
          <w:rPr>
            <w:noProof/>
            <w:webHidden/>
          </w:rPr>
          <w:fldChar w:fldCharType="begin"/>
        </w:r>
        <w:r w:rsidR="00282E09">
          <w:rPr>
            <w:noProof/>
            <w:webHidden/>
          </w:rPr>
          <w:instrText xml:space="preserve"> PAGEREF _Toc452386011 \h </w:instrText>
        </w:r>
        <w:r w:rsidR="00282E09">
          <w:rPr>
            <w:noProof/>
            <w:webHidden/>
          </w:rPr>
        </w:r>
        <w:r w:rsidR="00282E09">
          <w:rPr>
            <w:noProof/>
            <w:webHidden/>
          </w:rPr>
          <w:fldChar w:fldCharType="separate"/>
        </w:r>
        <w:r w:rsidR="00282E09">
          <w:rPr>
            <w:noProof/>
            <w:webHidden/>
          </w:rPr>
          <w:t>24</w:t>
        </w:r>
        <w:r w:rsidR="00282E09">
          <w:rPr>
            <w:noProof/>
            <w:webHidden/>
          </w:rPr>
          <w:fldChar w:fldCharType="end"/>
        </w:r>
      </w:hyperlink>
    </w:p>
    <w:p w:rsidR="00282E09" w:rsidRDefault="00AF58A5">
      <w:pPr>
        <w:pStyle w:val="TM2"/>
        <w:tabs>
          <w:tab w:val="left" w:pos="660"/>
          <w:tab w:val="right" w:leader="dot" w:pos="9060"/>
        </w:tabs>
        <w:rPr>
          <w:rFonts w:asciiTheme="minorHAnsi" w:eastAsiaTheme="minorEastAsia" w:hAnsiTheme="minorHAnsi"/>
          <w:noProof/>
          <w:lang w:eastAsia="fr-FR"/>
        </w:rPr>
      </w:pPr>
      <w:hyperlink w:anchor="_Toc452386012" w:history="1">
        <w:r w:rsidR="00282E09" w:rsidRPr="005B4337">
          <w:rPr>
            <w:rStyle w:val="Lienhypertexte"/>
            <w:bCs/>
            <w:noProof/>
          </w:rPr>
          <w:t>3.</w:t>
        </w:r>
        <w:r w:rsidR="00282E09">
          <w:rPr>
            <w:rFonts w:asciiTheme="minorHAnsi" w:eastAsiaTheme="minorEastAsia" w:hAnsiTheme="minorHAnsi"/>
            <w:noProof/>
            <w:lang w:eastAsia="fr-FR"/>
          </w:rPr>
          <w:tab/>
        </w:r>
        <w:r w:rsidR="00282E09" w:rsidRPr="005B4337">
          <w:rPr>
            <w:rStyle w:val="Lienhypertexte"/>
            <w:bCs/>
            <w:noProof/>
          </w:rPr>
          <w:t>DESCRIPTIF DE L’OBLIGATION OU DE LA SPECIFICITE POUR LE(S) COMMISSAIRE(S) AUX COMPTES / POINTS POUR ATTENTION</w:t>
        </w:r>
        <w:r w:rsidR="00282E09">
          <w:rPr>
            <w:noProof/>
            <w:webHidden/>
          </w:rPr>
          <w:tab/>
        </w:r>
        <w:r w:rsidR="00282E09">
          <w:rPr>
            <w:noProof/>
            <w:webHidden/>
          </w:rPr>
          <w:fldChar w:fldCharType="begin"/>
        </w:r>
        <w:r w:rsidR="00282E09">
          <w:rPr>
            <w:noProof/>
            <w:webHidden/>
          </w:rPr>
          <w:instrText xml:space="preserve"> PAGEREF _Toc452386012 \h </w:instrText>
        </w:r>
        <w:r w:rsidR="00282E09">
          <w:rPr>
            <w:noProof/>
            <w:webHidden/>
          </w:rPr>
        </w:r>
        <w:r w:rsidR="00282E09">
          <w:rPr>
            <w:noProof/>
            <w:webHidden/>
          </w:rPr>
          <w:fldChar w:fldCharType="separate"/>
        </w:r>
        <w:r w:rsidR="00282E09">
          <w:rPr>
            <w:noProof/>
            <w:webHidden/>
          </w:rPr>
          <w:t>24</w:t>
        </w:r>
        <w:r w:rsidR="00282E09">
          <w:rPr>
            <w:noProof/>
            <w:webHidden/>
          </w:rPr>
          <w:fldChar w:fldCharType="end"/>
        </w:r>
      </w:hyperlink>
    </w:p>
    <w:p w:rsidR="00282E09" w:rsidRDefault="00AF58A5">
      <w:pPr>
        <w:pStyle w:val="TM2"/>
        <w:tabs>
          <w:tab w:val="left" w:pos="660"/>
          <w:tab w:val="right" w:leader="dot" w:pos="9060"/>
        </w:tabs>
        <w:rPr>
          <w:rFonts w:asciiTheme="minorHAnsi" w:eastAsiaTheme="minorEastAsia" w:hAnsiTheme="minorHAnsi"/>
          <w:noProof/>
          <w:lang w:eastAsia="fr-FR"/>
        </w:rPr>
      </w:pPr>
      <w:hyperlink w:anchor="_Toc452386013" w:history="1">
        <w:r w:rsidR="00282E09" w:rsidRPr="005B4337">
          <w:rPr>
            <w:rStyle w:val="Lienhypertexte"/>
            <w:bCs/>
            <w:noProof/>
          </w:rPr>
          <w:t>4.</w:t>
        </w:r>
        <w:r w:rsidR="00282E09">
          <w:rPr>
            <w:rFonts w:asciiTheme="minorHAnsi" w:eastAsiaTheme="minorEastAsia" w:hAnsiTheme="minorHAnsi"/>
            <w:noProof/>
            <w:lang w:eastAsia="fr-FR"/>
          </w:rPr>
          <w:tab/>
        </w:r>
        <w:r w:rsidR="00282E09" w:rsidRPr="005B4337">
          <w:rPr>
            <w:rStyle w:val="Lienhypertexte"/>
            <w:bCs/>
            <w:noProof/>
          </w:rPr>
          <w:t>OUTILS DISPONIBLES</w:t>
        </w:r>
        <w:r w:rsidR="00282E09">
          <w:rPr>
            <w:noProof/>
            <w:webHidden/>
          </w:rPr>
          <w:tab/>
        </w:r>
        <w:r w:rsidR="00282E09">
          <w:rPr>
            <w:noProof/>
            <w:webHidden/>
          </w:rPr>
          <w:fldChar w:fldCharType="begin"/>
        </w:r>
        <w:r w:rsidR="00282E09">
          <w:rPr>
            <w:noProof/>
            <w:webHidden/>
          </w:rPr>
          <w:instrText xml:space="preserve"> PAGEREF _Toc452386013 \h </w:instrText>
        </w:r>
        <w:r w:rsidR="00282E09">
          <w:rPr>
            <w:noProof/>
            <w:webHidden/>
          </w:rPr>
        </w:r>
        <w:r w:rsidR="00282E09">
          <w:rPr>
            <w:noProof/>
            <w:webHidden/>
          </w:rPr>
          <w:fldChar w:fldCharType="separate"/>
        </w:r>
        <w:r w:rsidR="00282E09">
          <w:rPr>
            <w:noProof/>
            <w:webHidden/>
          </w:rPr>
          <w:t>25</w:t>
        </w:r>
        <w:r w:rsidR="00282E09">
          <w:rPr>
            <w:noProof/>
            <w:webHidden/>
          </w:rPr>
          <w:fldChar w:fldCharType="end"/>
        </w:r>
      </w:hyperlink>
    </w:p>
    <w:p w:rsidR="00282E09" w:rsidRDefault="00282E09" w:rsidP="00282E09">
      <w:pPr>
        <w:rPr>
          <w:rFonts w:asciiTheme="majorHAnsi" w:eastAsiaTheme="majorEastAsia" w:hAnsiTheme="majorHAnsi" w:cstheme="majorBidi"/>
          <w:b/>
          <w:bCs/>
          <w:color w:val="48213C" w:themeColor="accent1" w:themeShade="BF"/>
          <w:sz w:val="28"/>
          <w:szCs w:val="28"/>
        </w:rPr>
      </w:pPr>
      <w:r>
        <w:rPr>
          <w:rFonts w:asciiTheme="majorHAnsi" w:eastAsiaTheme="majorEastAsia" w:hAnsiTheme="majorHAnsi" w:cstheme="majorBidi"/>
          <w:b/>
          <w:bCs/>
          <w:color w:val="48213C" w:themeColor="accent1" w:themeShade="BF"/>
          <w:sz w:val="28"/>
          <w:szCs w:val="28"/>
        </w:rPr>
        <w:fldChar w:fldCharType="end"/>
      </w:r>
    </w:p>
    <w:p w:rsidR="00282E09" w:rsidRDefault="00282E09" w:rsidP="00282E09">
      <w:pPr>
        <w:jc w:val="left"/>
        <w:rPr>
          <w:rFonts w:asciiTheme="majorHAnsi" w:eastAsiaTheme="majorEastAsia" w:hAnsiTheme="majorHAnsi" w:cstheme="majorBidi"/>
          <w:b/>
          <w:bCs/>
          <w:color w:val="48213C" w:themeColor="accent1" w:themeShade="BF"/>
          <w:sz w:val="28"/>
          <w:szCs w:val="28"/>
        </w:rPr>
      </w:pPr>
      <w:r>
        <w:rPr>
          <w:rFonts w:asciiTheme="majorHAnsi" w:eastAsiaTheme="majorEastAsia" w:hAnsiTheme="majorHAnsi" w:cstheme="majorBidi"/>
          <w:b/>
          <w:bCs/>
          <w:color w:val="48213C" w:themeColor="accent1" w:themeShade="BF"/>
          <w:sz w:val="28"/>
          <w:szCs w:val="28"/>
        </w:rPr>
        <w:br w:type="page"/>
      </w:r>
    </w:p>
    <w:p w:rsidR="00282E09" w:rsidRDefault="00282E09" w:rsidP="00282E09"/>
    <w:p w:rsidR="00282E09" w:rsidRDefault="00282E09" w:rsidP="00282E09">
      <w:pPr>
        <w:pStyle w:val="CACTitre1"/>
      </w:pPr>
      <w:bookmarkStart w:id="0" w:name="_Toc427855160"/>
      <w:bookmarkStart w:id="1" w:name="_Toc452385946"/>
      <w:r>
        <w:t>RELATIONS AVEC LES AUTORITES DE SURVEILLANCE OU DE CONTROLE</w:t>
      </w:r>
      <w:bookmarkEnd w:id="0"/>
      <w:bookmarkEnd w:id="1"/>
    </w:p>
    <w:p w:rsidR="00282E09" w:rsidRPr="009C6D83" w:rsidRDefault="00282E09" w:rsidP="00282E09">
      <w:pPr>
        <w:tabs>
          <w:tab w:val="left" w:pos="1965"/>
        </w:tabs>
        <w:rPr>
          <w:b/>
          <w:bCs/>
        </w:rPr>
      </w:pPr>
      <w:bookmarkStart w:id="2" w:name="_Toc335388801"/>
    </w:p>
    <w:p w:rsidR="00282E09" w:rsidRDefault="00282E09" w:rsidP="00282E09">
      <w:pPr>
        <w:pStyle w:val="CACTitre2"/>
      </w:pPr>
      <w:bookmarkStart w:id="3" w:name="_Toc427855161"/>
      <w:bookmarkStart w:id="4" w:name="_Toc452385947"/>
      <w:r>
        <w:t>RELATIONS AVEC LE H3C – CONTROLE QUALITE TRIENNAL, ACCORD D’ECHANGE D’INFORMATIONS ET DE COOPERATION H3C/AMF, ACCORD H3C/ACP</w:t>
      </w:r>
      <w:bookmarkEnd w:id="2"/>
      <w:bookmarkEnd w:id="3"/>
      <w:bookmarkEnd w:id="4"/>
    </w:p>
    <w:p w:rsidR="00282E09" w:rsidRDefault="00282E09" w:rsidP="00282E09">
      <w:pPr>
        <w:rPr>
          <w:rStyle w:val="lev"/>
        </w:rPr>
      </w:pPr>
    </w:p>
    <w:p w:rsidR="00282E09" w:rsidRPr="00252117" w:rsidRDefault="00282E09" w:rsidP="00282E09">
      <w:pPr>
        <w:pStyle w:val="CACTitre3"/>
        <w:rPr>
          <w:rStyle w:val="lev"/>
        </w:rPr>
      </w:pPr>
      <w:bookmarkStart w:id="5" w:name="_Toc452385948"/>
      <w:r>
        <w:rPr>
          <w:rStyle w:val="lev"/>
        </w:rPr>
        <w:t>Textes de référence</w:t>
      </w:r>
      <w:bookmarkEnd w:id="5"/>
    </w:p>
    <w:p w:rsidR="00282E09" w:rsidRPr="009C6D83" w:rsidRDefault="00282E09" w:rsidP="00282E09">
      <w:pPr>
        <w:tabs>
          <w:tab w:val="left" w:pos="1965"/>
        </w:tabs>
        <w:rPr>
          <w:b/>
          <w:bCs/>
        </w:rPr>
      </w:pPr>
    </w:p>
    <w:p w:rsidR="00282E09" w:rsidRDefault="00282E09" w:rsidP="00282E09">
      <w:pPr>
        <w:pStyle w:val="Paragraphedeliste"/>
        <w:numPr>
          <w:ilvl w:val="0"/>
          <w:numId w:val="23"/>
        </w:numPr>
        <w:spacing w:before="60" w:after="60"/>
      </w:pPr>
      <w:r>
        <w:t>Code de commerce : articles L. 821-1, L. 821-7, L. 821-9 et R. 821-23 à 27.</w:t>
      </w:r>
    </w:p>
    <w:p w:rsidR="00282E09" w:rsidRDefault="00282E09" w:rsidP="00282E09">
      <w:pPr>
        <w:pStyle w:val="Paragraphedeliste"/>
        <w:numPr>
          <w:ilvl w:val="0"/>
          <w:numId w:val="23"/>
        </w:numPr>
        <w:spacing w:before="60" w:after="60"/>
      </w:pPr>
      <w:r>
        <w:t>Ordonnance n° 2010-76 du 21 janvier 2010 portant fusion des autorités d'agrément et de contrôle de la banque et de l'assurance</w:t>
      </w:r>
    </w:p>
    <w:p w:rsidR="00282E09" w:rsidRDefault="00282E09" w:rsidP="00282E09"/>
    <w:p w:rsidR="00282E09" w:rsidRPr="00252117" w:rsidRDefault="00282E09" w:rsidP="00282E09">
      <w:pPr>
        <w:pStyle w:val="CACTitre3"/>
        <w:rPr>
          <w:rStyle w:val="lev"/>
        </w:rPr>
      </w:pPr>
      <w:bookmarkStart w:id="6" w:name="_Toc452385949"/>
      <w:r>
        <w:rPr>
          <w:rStyle w:val="lev"/>
        </w:rPr>
        <w:t>Descriptif de l’obligation ou de la spécificité pour l’émetteur</w:t>
      </w:r>
      <w:bookmarkEnd w:id="6"/>
    </w:p>
    <w:p w:rsidR="00282E09" w:rsidRDefault="00282E09" w:rsidP="00282E09"/>
    <w:p w:rsidR="00282E09" w:rsidRDefault="00282E09" w:rsidP="00282E09">
      <w:r w:rsidRPr="00F4351A">
        <w:t>Non applicable</w:t>
      </w:r>
    </w:p>
    <w:p w:rsidR="00282E09" w:rsidRDefault="00282E09" w:rsidP="00282E09"/>
    <w:p w:rsidR="00282E09" w:rsidRPr="00252117" w:rsidRDefault="00282E09" w:rsidP="00282E09">
      <w:pPr>
        <w:pStyle w:val="CACTitre3"/>
        <w:rPr>
          <w:rStyle w:val="lev"/>
        </w:rPr>
      </w:pPr>
      <w:bookmarkStart w:id="7" w:name="_Toc452385950"/>
      <w:r>
        <w:rPr>
          <w:rStyle w:val="lev"/>
        </w:rPr>
        <w:t>Descriptif de l’obligation ou de la spécificité pour le(s) commissaire(s) aux comptes / points pour attention</w:t>
      </w:r>
      <w:bookmarkEnd w:id="7"/>
    </w:p>
    <w:p w:rsidR="00282E09" w:rsidRDefault="00282E09" w:rsidP="00282E09"/>
    <w:p w:rsidR="00282E09" w:rsidRDefault="00282E09" w:rsidP="00282E09">
      <w:r>
        <w:t>Le code de commerce soumet les commissaires aux comptes, dans leur activité professionnelle, à des contrôles périodiques dont la fréquence est ramenée à 3 ans pour les commissaires aux comptes exerçant des fonctions de contrôle légal des comptes auprès de personnes ou d'entités d'intérêt public. Les sociétés dont les actions sont admises aux négociations sur un marché réglementé en font partie.</w:t>
      </w:r>
    </w:p>
    <w:p w:rsidR="00282E09" w:rsidRDefault="00282E09" w:rsidP="00282E09"/>
    <w:p w:rsidR="00282E09" w:rsidRDefault="00282E09" w:rsidP="00282E09">
      <w:r>
        <w:t>Le H3C définit le cadre et les orientations de ces contrôles. Il met en œuvre les contrôles périodiques des cabinets détenant des mandats d'entités d'intérêt public :</w:t>
      </w:r>
    </w:p>
    <w:p w:rsidR="00282E09" w:rsidRDefault="00282E09" w:rsidP="00282E09">
      <w:pPr>
        <w:pStyle w:val="Paragraphedeliste"/>
        <w:numPr>
          <w:ilvl w:val="0"/>
          <w:numId w:val="24"/>
        </w:numPr>
        <w:spacing w:before="60" w:after="60"/>
      </w:pPr>
      <w:r>
        <w:t>soit directement par l'intermédiaire de contrôleurs n'exerçant pas de fonctions de contrôle légal des comptes,</w:t>
      </w:r>
    </w:p>
    <w:p w:rsidR="00282E09" w:rsidRDefault="00282E09" w:rsidP="00282E09">
      <w:pPr>
        <w:pStyle w:val="Paragraphedeliste"/>
        <w:numPr>
          <w:ilvl w:val="0"/>
          <w:numId w:val="24"/>
        </w:numPr>
        <w:spacing w:before="60" w:after="60"/>
      </w:pPr>
      <w:r>
        <w:t>soit en déléguant l'exercice des contrôles périodiques de cabinets détenant des mandats d'entités d'intérêt public à la CNCC et aux CRCC. Le H3C décide de recourir à cette délégation à partir d'une prise de connaissance des cabinets et de la sensibilité des mandats d'intérêt public qu'ils détiennent.</w:t>
      </w:r>
    </w:p>
    <w:p w:rsidR="00282E09" w:rsidRDefault="00282E09" w:rsidP="00282E09"/>
    <w:p w:rsidR="00282E09" w:rsidRDefault="00282E09" w:rsidP="00282E09">
      <w:r>
        <w:t>Ces contrôles sont effectués avec le concours de l'AMF lorsque les commissaires aux comptes qui y sont soumis certifient les comptes des personnes relevant de son autorité. Les modalités de coopération entre l'AMF et le H3C, de même que le champ d'application des contrôles périodiques concernés, sont précisés dans l'accord d'échange d'informations et de coopération H3C / AMF du 10 février 2010. Un accord entre le H3C et l'ACP relatif à l'assistance de l'ACP dans le cadre des contrôles réalisés par le H3C et aux modalités d'échange d'informations utiles à leurs missions respectives a également été signé en date du 6 avril 2011.</w:t>
      </w:r>
    </w:p>
    <w:p w:rsidR="00282E09" w:rsidRDefault="00282E09" w:rsidP="00282E09"/>
    <w:p w:rsidR="00282E09" w:rsidRDefault="00282E09" w:rsidP="00282E09">
      <w:r>
        <w:t xml:space="preserve">Le contrôle périodique porte sur un « cabinet » en suivant une approche de contrôle global. Cette approche consiste à vérifier l'existence, au sein d'un cabinet, d'une organisation et de procédures visant à garantir la qualité et l'indépendance du contrôle légal des comptes, à vérifier la correcte </w:t>
      </w:r>
      <w:r>
        <w:lastRenderedPageBreak/>
        <w:t>exécution de la mission légale par les signataires sur une sélection de mandats et à s'assurer, pour cette même sélection, de l'effectivité et de l'efficacité des procédures et situations spécifiques.</w:t>
      </w:r>
    </w:p>
    <w:p w:rsidR="00282E09" w:rsidRDefault="00282E09" w:rsidP="00282E09"/>
    <w:p w:rsidR="00282E09" w:rsidRDefault="00282E09" w:rsidP="00282E09">
      <w:r>
        <w:t>La sélection des mandats d'un cabinet respecte les secteurs et situations spécifiques définis par le H3C et est faite, d'une part, de façon aléatoire, et d'autre part, en se fondant sur une approche par les risques. Elle couvre un nombre de mandats représentatif de l'activité du cabinet. Le cas échéant, le contrôle peut être ciblé sur un mandat pour répondre à une demande adressée par d'autres autorités de régulation ou dans le cadre de la coopération entre les divers systèmes de supervision publique. Ainsi, lorsqu'un commissaire aux comptes est inscrit au programme annuel des contrôles périodiques, le H3C en informe l'AMF qui lui adresse ses observations éventuelles. Après réception de ces observations, le H3C donne des instructions au contrôleur.</w:t>
      </w:r>
    </w:p>
    <w:p w:rsidR="00282E09" w:rsidRDefault="00282E09" w:rsidP="00282E09"/>
    <w:p w:rsidR="00282E09" w:rsidRDefault="00282E09" w:rsidP="00282E09">
      <w:r>
        <w:t>Le H3C et l'AMF partagent les résultats des contrôles en vue d'exercer leurs prérogatives respectives.</w:t>
      </w:r>
    </w:p>
    <w:p w:rsidR="00282E09" w:rsidRDefault="00282E09" w:rsidP="00282E09"/>
    <w:p w:rsidR="00282E09" w:rsidRDefault="00282E09" w:rsidP="00282E09">
      <w:r>
        <w:t>Le contrôle respecte le principe du contradictoire. Il fait l'objet d'un pré-rapport exposant les opérations de contrôle réalisées et leurs résultats, au vu duquel le cabinet contrôlé est appelé à faire valoir ses observations. Le pré-rapport est alors transmis à l'AMF. Le cas échéant, une réunion contradictoire est organisée en présence du cabinet contrôlé et du contrôleur. À l'issue de la procédure contradictoire à laquelle participe en tant que de besoin l'AMF, un rapport définitif est établi. Ce rapport est également transmis à l'AMF.</w:t>
      </w:r>
    </w:p>
    <w:p w:rsidR="00282E09" w:rsidRDefault="00282E09" w:rsidP="00282E09"/>
    <w:p w:rsidR="00282E09" w:rsidRDefault="00282E09" w:rsidP="00282E09">
      <w:r>
        <w:t>À la suite d'un contrôle, les principales insuffisances relevées dans le rapport définitif peuvent donner lieu à des recommandations qui peuvent être assorties d'un suivi afin de s'assurer de leur prise en compte. Ce suivi fait l'objet d'un rapport dont l'établissement est soumis à la procédure contradictoire.</w:t>
      </w:r>
    </w:p>
    <w:p w:rsidR="00282E09" w:rsidRDefault="00282E09" w:rsidP="00282E09">
      <w:pPr>
        <w:tabs>
          <w:tab w:val="left" w:pos="1965"/>
        </w:tabs>
      </w:pPr>
    </w:p>
    <w:p w:rsidR="00282E09" w:rsidRPr="00BA33C3" w:rsidRDefault="00282E09" w:rsidP="00282E09">
      <w:pPr>
        <w:pStyle w:val="CACTitre3"/>
        <w:rPr>
          <w:rStyle w:val="lev"/>
        </w:rPr>
      </w:pPr>
      <w:bookmarkStart w:id="8" w:name="_Toc452385951"/>
      <w:r>
        <w:rPr>
          <w:rStyle w:val="lev"/>
        </w:rPr>
        <w:t>Outils disponibles</w:t>
      </w:r>
      <w:bookmarkEnd w:id="8"/>
    </w:p>
    <w:p w:rsidR="00282E09" w:rsidRDefault="00282E09" w:rsidP="00282E09">
      <w:pPr>
        <w:tabs>
          <w:tab w:val="left" w:pos="1965"/>
        </w:tabs>
      </w:pPr>
    </w:p>
    <w:p w:rsidR="00282E09" w:rsidRDefault="00282E09" w:rsidP="00282E09">
      <w:pPr>
        <w:pStyle w:val="Paragraphedeliste"/>
        <w:numPr>
          <w:ilvl w:val="0"/>
          <w:numId w:val="25"/>
        </w:numPr>
        <w:spacing w:before="60" w:after="60"/>
      </w:pPr>
      <w:r w:rsidRPr="00F4351A">
        <w:t>Décision 2009-02 du H3C relative aux contrôles périodiques auxquels sont soumis les commissaires aux comptes : Principes directeurs du système des contrôles périodiques.</w:t>
      </w:r>
    </w:p>
    <w:p w:rsidR="00282E09" w:rsidRDefault="00282E09" w:rsidP="00282E09">
      <w:pPr>
        <w:pStyle w:val="Paragraphedeliste"/>
        <w:numPr>
          <w:ilvl w:val="0"/>
          <w:numId w:val="25"/>
        </w:numPr>
        <w:tabs>
          <w:tab w:val="left" w:pos="1965"/>
        </w:tabs>
        <w:spacing w:before="60" w:after="60"/>
      </w:pPr>
      <w:r>
        <w:t>Décision 2009-04 du H3C relative aux modalités de la délégation de l'exercice des contrôles périodiques auxquels sont soumis les commissaires aux comptes.</w:t>
      </w:r>
    </w:p>
    <w:p w:rsidR="00282E09" w:rsidRDefault="00282E09" w:rsidP="00282E09">
      <w:pPr>
        <w:pStyle w:val="Paragraphedeliste"/>
        <w:numPr>
          <w:ilvl w:val="0"/>
          <w:numId w:val="25"/>
        </w:numPr>
        <w:tabs>
          <w:tab w:val="left" w:pos="1965"/>
        </w:tabs>
        <w:spacing w:before="60" w:after="60"/>
      </w:pPr>
      <w:r>
        <w:t>Décision 2011-04 du H3C relative aux contrôles périodiques auxquels sont soumis les commissaires aux comptes - Programme 2012 de contrôle des commissaires aux comptes.</w:t>
      </w:r>
    </w:p>
    <w:p w:rsidR="00282E09" w:rsidRDefault="00282E09" w:rsidP="00282E09">
      <w:pPr>
        <w:pStyle w:val="Paragraphedeliste"/>
        <w:numPr>
          <w:ilvl w:val="0"/>
          <w:numId w:val="25"/>
        </w:numPr>
        <w:tabs>
          <w:tab w:val="left" w:pos="1965"/>
        </w:tabs>
        <w:spacing w:before="60" w:after="60"/>
      </w:pPr>
      <w:r>
        <w:t>Accord d'échange d'informations et de coopération entre le H3C et l'AMF en date du 10 février 2010.</w:t>
      </w:r>
    </w:p>
    <w:p w:rsidR="00282E09" w:rsidRDefault="00282E09" w:rsidP="00282E09">
      <w:pPr>
        <w:pStyle w:val="Paragraphedeliste"/>
        <w:numPr>
          <w:ilvl w:val="0"/>
          <w:numId w:val="25"/>
        </w:numPr>
        <w:tabs>
          <w:tab w:val="left" w:pos="1965"/>
        </w:tabs>
        <w:spacing w:before="60" w:after="60"/>
      </w:pPr>
      <w:r>
        <w:t>Accord entre le H3C et l'ACP en date du 6 avril 2011</w:t>
      </w:r>
    </w:p>
    <w:p w:rsidR="00282E09" w:rsidRDefault="00282E09" w:rsidP="00282E09">
      <w:pPr>
        <w:tabs>
          <w:tab w:val="left" w:pos="1965"/>
        </w:tabs>
      </w:pPr>
    </w:p>
    <w:p w:rsidR="00282E09" w:rsidRPr="00430DF5" w:rsidRDefault="00282E09" w:rsidP="00282E09">
      <w:pPr>
        <w:pStyle w:val="CACTitre2"/>
        <w:rPr>
          <w:rStyle w:val="lev"/>
          <w:b/>
        </w:rPr>
      </w:pPr>
      <w:bookmarkStart w:id="9" w:name="_3.1.2_RELATIONS_AVEC"/>
      <w:bookmarkStart w:id="10" w:name="_Toc335388802"/>
      <w:bookmarkStart w:id="11" w:name="_Toc427855162"/>
      <w:bookmarkStart w:id="12" w:name="_Toc452385952"/>
      <w:bookmarkEnd w:id="9"/>
      <w:r w:rsidRPr="00430DF5">
        <w:rPr>
          <w:rStyle w:val="lev"/>
          <w:b/>
        </w:rPr>
        <w:t>RELATIONS AVEC LE H3C - COTISATION ADDITIONNELLE DE 0,68 % DES HONORAIRES DES MANDATS EIP</w:t>
      </w:r>
      <w:bookmarkEnd w:id="10"/>
      <w:bookmarkEnd w:id="11"/>
      <w:bookmarkEnd w:id="12"/>
    </w:p>
    <w:p w:rsidR="00282E09" w:rsidRPr="00430DF5" w:rsidRDefault="00282E09" w:rsidP="00282E09"/>
    <w:p w:rsidR="00282E09" w:rsidRPr="00252117" w:rsidRDefault="00282E09" w:rsidP="00282E09">
      <w:pPr>
        <w:pStyle w:val="CACTitre3"/>
        <w:rPr>
          <w:rStyle w:val="lev"/>
        </w:rPr>
      </w:pPr>
      <w:bookmarkStart w:id="13" w:name="_Toc452385953"/>
      <w:r>
        <w:rPr>
          <w:rStyle w:val="lev"/>
        </w:rPr>
        <w:t>Textes de référence</w:t>
      </w:r>
      <w:bookmarkEnd w:id="13"/>
    </w:p>
    <w:p w:rsidR="00282E09" w:rsidRDefault="00282E09" w:rsidP="00282E09"/>
    <w:p w:rsidR="00282E09" w:rsidRDefault="00282E09" w:rsidP="00282E09">
      <w:pPr>
        <w:pStyle w:val="Paragraphedeliste"/>
        <w:numPr>
          <w:ilvl w:val="0"/>
          <w:numId w:val="23"/>
        </w:numPr>
        <w:spacing w:before="60" w:after="60"/>
      </w:pPr>
      <w:r>
        <w:t>Directive européenne 2006/43/CE du 17 mai 2006 concernant les contrôles légaux des comptes annuels et des comptes consolidés.</w:t>
      </w:r>
    </w:p>
    <w:p w:rsidR="00282E09" w:rsidRDefault="00282E09" w:rsidP="00282E09">
      <w:pPr>
        <w:pStyle w:val="Paragraphedeliste"/>
        <w:numPr>
          <w:ilvl w:val="0"/>
          <w:numId w:val="23"/>
        </w:numPr>
        <w:spacing w:before="60" w:after="60"/>
      </w:pPr>
      <w:r>
        <w:t>Recommandation de la Commission européenne 2008/362/CE du 6 mai 2008 relative à l'assurance qualité externe des contrôleurs légaux des comptes et des cabinets d'audit qui contrôlent les comptes d'entités d'intérêt public.</w:t>
      </w:r>
    </w:p>
    <w:p w:rsidR="00282E09" w:rsidRDefault="00282E09" w:rsidP="00282E09">
      <w:pPr>
        <w:pStyle w:val="Paragraphedeliste"/>
        <w:numPr>
          <w:ilvl w:val="0"/>
          <w:numId w:val="23"/>
        </w:numPr>
        <w:spacing w:before="60" w:after="60"/>
      </w:pPr>
      <w:r>
        <w:t>Code de commerce : articles L. 822-1, L. 821-5, L. 821-6-1 et R. 822-64.</w:t>
      </w:r>
    </w:p>
    <w:p w:rsidR="00282E09" w:rsidRDefault="00282E09" w:rsidP="00282E09">
      <w:pPr>
        <w:pStyle w:val="Paragraphedeliste"/>
        <w:numPr>
          <w:ilvl w:val="0"/>
          <w:numId w:val="23"/>
        </w:numPr>
        <w:spacing w:before="60" w:after="60"/>
      </w:pPr>
      <w:r>
        <w:t>Décret n° 2011-96 du 24 janvier 2011 relatif au H3C.</w:t>
      </w:r>
    </w:p>
    <w:p w:rsidR="00282E09" w:rsidRDefault="00282E09" w:rsidP="00282E09"/>
    <w:p w:rsidR="00282E09" w:rsidRPr="00252117" w:rsidRDefault="00282E09" w:rsidP="00282E09">
      <w:pPr>
        <w:pStyle w:val="CACTitre3"/>
        <w:rPr>
          <w:rStyle w:val="lev"/>
        </w:rPr>
      </w:pPr>
      <w:bookmarkStart w:id="14" w:name="_Toc452385954"/>
      <w:r>
        <w:rPr>
          <w:rStyle w:val="lev"/>
        </w:rPr>
        <w:t>Descriptif de l’obligation ou de la spécificité pour l’émetteur</w:t>
      </w:r>
      <w:bookmarkEnd w:id="14"/>
    </w:p>
    <w:p w:rsidR="00282E09" w:rsidRDefault="00282E09" w:rsidP="00282E09"/>
    <w:p w:rsidR="00282E09" w:rsidRDefault="00282E09" w:rsidP="00282E09">
      <w:r w:rsidRPr="00F4351A">
        <w:t>Non applicable</w:t>
      </w:r>
    </w:p>
    <w:p w:rsidR="00282E09" w:rsidRDefault="00282E09" w:rsidP="00282E09"/>
    <w:p w:rsidR="00282E09" w:rsidRPr="00252117" w:rsidRDefault="00282E09" w:rsidP="00282E09">
      <w:pPr>
        <w:pStyle w:val="CACTitre3"/>
        <w:rPr>
          <w:rStyle w:val="lev"/>
        </w:rPr>
      </w:pPr>
      <w:bookmarkStart w:id="15" w:name="_Toc452385955"/>
      <w:r>
        <w:rPr>
          <w:rStyle w:val="lev"/>
        </w:rPr>
        <w:t>Descriptif de l’obligation ou de la spécificité pour le(s) commissaire(s) aux comptes / points pour attention</w:t>
      </w:r>
      <w:bookmarkEnd w:id="15"/>
    </w:p>
    <w:p w:rsidR="00282E09" w:rsidRDefault="00282E09" w:rsidP="00282E09"/>
    <w:p w:rsidR="00282E09" w:rsidRDefault="00282E09" w:rsidP="00282E09">
      <w:r>
        <w:t>Conformément à la directive européenne 2006/43/CE du 17 mai 2006 et à la recommandation de la commission européenne 2008/362/CE du 6 mai 2008, le financement du système des contrôles périodiques est assuré par des contributions annuelles destinées à couvrir le coût de réalisation du programme décidé par le H3C.</w:t>
      </w:r>
    </w:p>
    <w:p w:rsidR="00282E09" w:rsidRDefault="00282E09" w:rsidP="00282E09"/>
    <w:p w:rsidR="00282E09" w:rsidRDefault="00282E09" w:rsidP="00282E09">
      <w:r>
        <w:t xml:space="preserve">Ainsi, afin de </w:t>
      </w:r>
      <w:r w:rsidRPr="00F4351A">
        <w:rPr>
          <w:b/>
        </w:rPr>
        <w:t>financer le système des contrôles périodiques du H3C</w:t>
      </w:r>
      <w:r>
        <w:t>, il est institué une cotisation à la charge de la CNCC dont le taux est déterminé par décret. À compter du 1</w:t>
      </w:r>
      <w:r w:rsidRPr="006B04BA">
        <w:rPr>
          <w:vertAlign w:val="superscript"/>
        </w:rPr>
        <w:t>er</w:t>
      </w:r>
      <w:r>
        <w:t xml:space="preserve"> janvier 2011, le taux de la cotisation est fixé à 0,65 % du montant total des honoraires facturés au cours de l'année précédente par ses membres dans l'exercice de leurs fonctions de contrôle légal des comptes auprès de personnes ou d'entités dont les titres financiers sont admis aux négociations sur un marché réglementé ou faisant appel à la générosité publique, d'organismes de sécurité sociale mentionnés à l'article L. 114-8 du code de la sécurité sociale, d'établissements de crédits, d'entreprises régies par le code des assurances, d'institutions de prévoyance régies par le titre III du livre IX du code de la sécurité sociale, de mutuelles ou d'unions de mutuelles régies par le livre II du code de la mutualité.</w:t>
      </w:r>
    </w:p>
    <w:p w:rsidR="00282E09" w:rsidRDefault="00282E09" w:rsidP="00282E09"/>
    <w:p w:rsidR="00282E09" w:rsidRDefault="00282E09" w:rsidP="00282E09">
      <w:r>
        <w:t>La cotisation est versée au Haut Conseil, à raison de 50 % de son montant avant le 30 avril de chaque année, le solde étant dû au 30 septembre de la même année.</w:t>
      </w:r>
    </w:p>
    <w:p w:rsidR="00282E09" w:rsidRDefault="00282E09" w:rsidP="00282E09"/>
    <w:p w:rsidR="00282E09" w:rsidRDefault="00282E09" w:rsidP="00282E09">
      <w:r>
        <w:t xml:space="preserve">Afin de financer cette cotisation à la charge de la CNCC (0,65 </w:t>
      </w:r>
      <w:proofErr w:type="spellStart"/>
      <w:r>
        <w:t>Wo</w:t>
      </w:r>
      <w:proofErr w:type="spellEnd"/>
      <w:r>
        <w:t xml:space="preserve">), l'EIP délégué et le service Contrôle qualité de la Compagnie, une cotisation variable égale à 0,68 </w:t>
      </w:r>
      <w:proofErr w:type="spellStart"/>
      <w:r>
        <w:t>Wo</w:t>
      </w:r>
      <w:proofErr w:type="spellEnd"/>
      <w:r>
        <w:t xml:space="preserve"> (taux applicable à compter du 1er janvier 2011) des honoraires versés au titre des comptes annuels et consolidés de l'entité ayant la qualification juridique d'El P est à la charge des commissaires aux comptes. L'assiette de cotisation N correspond aux honoraires facturés au titre de l'année civile N-1. Cette cotisation est collectée par les CRCC via le bordereau d'appel de cotisations et reversée à la CNCC.</w:t>
      </w:r>
    </w:p>
    <w:p w:rsidR="00282E09" w:rsidRDefault="00282E09" w:rsidP="00282E09"/>
    <w:p w:rsidR="00282E09" w:rsidRDefault="00282E09" w:rsidP="00282E09">
      <w:r>
        <w:t xml:space="preserve">À noter que la cotisation variable de 0,20 </w:t>
      </w:r>
      <w:proofErr w:type="spellStart"/>
      <w:r>
        <w:t>Wo</w:t>
      </w:r>
      <w:proofErr w:type="spellEnd"/>
      <w:r>
        <w:t xml:space="preserve"> afférente au contrôle qualité collectée par les CRCC pour tous types de mandats s'applique également aux entités EIP, ce qui porte ainsi le total de la cotisation variable à 0,88 </w:t>
      </w:r>
      <w:proofErr w:type="spellStart"/>
      <w:r>
        <w:t>Wo</w:t>
      </w:r>
      <w:proofErr w:type="spellEnd"/>
      <w:r>
        <w:t xml:space="preserve"> pour ces dernières.</w:t>
      </w:r>
    </w:p>
    <w:p w:rsidR="00282E09" w:rsidRDefault="00282E09" w:rsidP="00282E09"/>
    <w:p w:rsidR="00282E09" w:rsidRDefault="00282E09" w:rsidP="00282E09">
      <w:r>
        <w:t>À noter par ailleurs que le financement du H3C est assuré par :</w:t>
      </w:r>
    </w:p>
    <w:p w:rsidR="00282E09" w:rsidRDefault="00282E09" w:rsidP="00282E09">
      <w:pPr>
        <w:pStyle w:val="Paragraphedeliste"/>
        <w:numPr>
          <w:ilvl w:val="0"/>
          <w:numId w:val="26"/>
        </w:numPr>
        <w:spacing w:before="60" w:after="60"/>
      </w:pPr>
      <w:r>
        <w:t>une contribution annuelle fixée à 10 euros redevable par chaque personne physique et chaque personne morale inscrite sur la liste des commissaires aux comptes visée à l'article L. 822-1,</w:t>
      </w:r>
    </w:p>
    <w:p w:rsidR="00282E09" w:rsidRDefault="00282E09" w:rsidP="00282E09">
      <w:pPr>
        <w:pStyle w:val="Paragraphedeliste"/>
        <w:numPr>
          <w:ilvl w:val="0"/>
          <w:numId w:val="26"/>
        </w:numPr>
        <w:spacing w:before="60" w:after="60"/>
      </w:pPr>
      <w:r>
        <w:t>un droit fixe sur chaque rapport de certification des comptes signé. Ces droits et contribution sont recouvrés par la CNCC dans les mêmes formes que la cotisation variable et sont reversés au H3C avant le 31 mars de chaque année.</w:t>
      </w:r>
    </w:p>
    <w:p w:rsidR="00282E09" w:rsidRDefault="00282E09" w:rsidP="00282E09"/>
    <w:p w:rsidR="00282E09" w:rsidRDefault="00282E09" w:rsidP="00282E09">
      <w:r>
        <w:t xml:space="preserve">L'assiette du droit fixe à payer en N correspond aux mandats signés au cours de l'année civile N-1. En cas de </w:t>
      </w:r>
      <w:proofErr w:type="spellStart"/>
      <w:r>
        <w:t>co</w:t>
      </w:r>
      <w:proofErr w:type="spellEnd"/>
      <w:r>
        <w:t xml:space="preserve">-commissariat aux comptes, le droit fixe est en principe réparti entre les </w:t>
      </w:r>
      <w:proofErr w:type="spellStart"/>
      <w:r>
        <w:t>co</w:t>
      </w:r>
      <w:proofErr w:type="spellEnd"/>
      <w:r>
        <w:t>-commissaires aux comptes au prorata des honoraires facturés au titre de la mission de certification des comptes mais le plus souvent, il est partagé à 50/50. Ce droit fixe ce calcule alors comme suit :</w:t>
      </w:r>
    </w:p>
    <w:p w:rsidR="00282E09" w:rsidRDefault="00282E09" w:rsidP="00282E09"/>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559"/>
        <w:gridCol w:w="1152"/>
        <w:gridCol w:w="1559"/>
        <w:gridCol w:w="1400"/>
      </w:tblGrid>
      <w:tr w:rsidR="00282E09" w:rsidTr="00A11B84">
        <w:tc>
          <w:tcPr>
            <w:tcW w:w="3227" w:type="dxa"/>
            <w:vAlign w:val="center"/>
          </w:tcPr>
          <w:p w:rsidR="00282E09" w:rsidRPr="006F7B72" w:rsidRDefault="00282E09" w:rsidP="00A11B84">
            <w:pPr>
              <w:jc w:val="center"/>
              <w:rPr>
                <w:b/>
              </w:rPr>
            </w:pPr>
            <w:r w:rsidRPr="006F7B72">
              <w:rPr>
                <w:b/>
              </w:rPr>
              <w:lastRenderedPageBreak/>
              <w:t>Montant forfaitaire en euros</w:t>
            </w:r>
          </w:p>
        </w:tc>
        <w:tc>
          <w:tcPr>
            <w:tcW w:w="2711" w:type="dxa"/>
            <w:gridSpan w:val="2"/>
            <w:vAlign w:val="center"/>
          </w:tcPr>
          <w:p w:rsidR="00282E09" w:rsidRDefault="00282E09" w:rsidP="00A11B84">
            <w:pPr>
              <w:jc w:val="center"/>
              <w:rPr>
                <w:b/>
              </w:rPr>
            </w:pPr>
            <w:r>
              <w:rPr>
                <w:b/>
              </w:rPr>
              <w:t>Rapport</w:t>
            </w:r>
          </w:p>
          <w:p w:rsidR="00282E09" w:rsidRPr="006F7B72" w:rsidRDefault="00282E09" w:rsidP="00A11B84">
            <w:pPr>
              <w:jc w:val="center"/>
              <w:rPr>
                <w:b/>
              </w:rPr>
            </w:pPr>
            <w:r>
              <w:rPr>
                <w:b/>
              </w:rPr>
              <w:t>Comptes annuels</w:t>
            </w:r>
          </w:p>
        </w:tc>
        <w:tc>
          <w:tcPr>
            <w:tcW w:w="2959" w:type="dxa"/>
            <w:gridSpan w:val="2"/>
            <w:vAlign w:val="center"/>
          </w:tcPr>
          <w:p w:rsidR="00282E09" w:rsidRDefault="00282E09" w:rsidP="00A11B84">
            <w:pPr>
              <w:jc w:val="center"/>
              <w:rPr>
                <w:b/>
              </w:rPr>
            </w:pPr>
            <w:r>
              <w:rPr>
                <w:b/>
              </w:rPr>
              <w:t>Rapport</w:t>
            </w:r>
          </w:p>
          <w:p w:rsidR="00282E09" w:rsidRPr="006F7B72" w:rsidRDefault="00282E09" w:rsidP="00A11B84">
            <w:pPr>
              <w:jc w:val="center"/>
              <w:rPr>
                <w:b/>
              </w:rPr>
            </w:pPr>
            <w:r>
              <w:rPr>
                <w:b/>
              </w:rPr>
              <w:t>Comptes annuels et</w:t>
            </w:r>
            <w:r>
              <w:rPr>
                <w:b/>
              </w:rPr>
              <w:br/>
              <w:t>comptes consolidés</w:t>
            </w:r>
          </w:p>
        </w:tc>
      </w:tr>
      <w:tr w:rsidR="00282E09" w:rsidTr="00A11B84">
        <w:tc>
          <w:tcPr>
            <w:tcW w:w="3227" w:type="dxa"/>
          </w:tcPr>
          <w:p w:rsidR="00282E09" w:rsidRPr="000A366B" w:rsidRDefault="00282E09" w:rsidP="00A11B84">
            <w:pPr>
              <w:spacing w:before="60" w:after="60"/>
              <w:rPr>
                <w:b/>
              </w:rPr>
            </w:pPr>
            <w:r w:rsidRPr="000A366B">
              <w:rPr>
                <w:b/>
              </w:rPr>
              <w:t>Marché de cotation</w:t>
            </w:r>
          </w:p>
        </w:tc>
        <w:tc>
          <w:tcPr>
            <w:tcW w:w="1559" w:type="dxa"/>
          </w:tcPr>
          <w:p w:rsidR="00282E09" w:rsidRPr="000A366B" w:rsidRDefault="00282E09" w:rsidP="00A11B84">
            <w:pPr>
              <w:spacing w:before="60" w:after="60"/>
              <w:rPr>
                <w:b/>
              </w:rPr>
            </w:pPr>
            <w:r w:rsidRPr="000A366B">
              <w:rPr>
                <w:b/>
              </w:rPr>
              <w:t>CAC unique</w:t>
            </w:r>
          </w:p>
        </w:tc>
        <w:tc>
          <w:tcPr>
            <w:tcW w:w="1152" w:type="dxa"/>
          </w:tcPr>
          <w:p w:rsidR="00282E09" w:rsidRPr="000A366B" w:rsidRDefault="00282E09" w:rsidP="00A11B84">
            <w:pPr>
              <w:spacing w:before="60" w:after="60"/>
              <w:rPr>
                <w:b/>
              </w:rPr>
            </w:pPr>
            <w:r w:rsidRPr="000A366B">
              <w:rPr>
                <w:b/>
              </w:rPr>
              <w:t>Co-CAC</w:t>
            </w:r>
          </w:p>
        </w:tc>
        <w:tc>
          <w:tcPr>
            <w:tcW w:w="1559" w:type="dxa"/>
          </w:tcPr>
          <w:p w:rsidR="00282E09" w:rsidRPr="000A366B" w:rsidRDefault="00282E09" w:rsidP="00A11B84">
            <w:pPr>
              <w:spacing w:before="60" w:after="60"/>
              <w:rPr>
                <w:b/>
              </w:rPr>
            </w:pPr>
            <w:r w:rsidRPr="000A366B">
              <w:rPr>
                <w:b/>
              </w:rPr>
              <w:t>CAC unique</w:t>
            </w:r>
          </w:p>
        </w:tc>
        <w:tc>
          <w:tcPr>
            <w:tcW w:w="1400" w:type="dxa"/>
          </w:tcPr>
          <w:p w:rsidR="00282E09" w:rsidRPr="000A366B" w:rsidRDefault="00282E09" w:rsidP="00A11B84">
            <w:pPr>
              <w:spacing w:before="60" w:after="60"/>
              <w:rPr>
                <w:b/>
              </w:rPr>
            </w:pPr>
            <w:r w:rsidRPr="000A366B">
              <w:rPr>
                <w:b/>
              </w:rPr>
              <w:t>Co-CAC</w:t>
            </w:r>
          </w:p>
        </w:tc>
      </w:tr>
      <w:tr w:rsidR="00282E09" w:rsidTr="00A11B84">
        <w:tc>
          <w:tcPr>
            <w:tcW w:w="3227" w:type="dxa"/>
          </w:tcPr>
          <w:p w:rsidR="00282E09" w:rsidRPr="000A366B" w:rsidRDefault="00282E09" w:rsidP="00A11B84">
            <w:pPr>
              <w:spacing w:before="60" w:after="60"/>
              <w:rPr>
                <w:b/>
              </w:rPr>
            </w:pPr>
            <w:r>
              <w:rPr>
                <w:b/>
              </w:rPr>
              <w:t>EURONEXT</w:t>
            </w:r>
          </w:p>
        </w:tc>
        <w:tc>
          <w:tcPr>
            <w:tcW w:w="1559" w:type="dxa"/>
            <w:vAlign w:val="center"/>
          </w:tcPr>
          <w:p w:rsidR="00282E09" w:rsidRDefault="00282E09" w:rsidP="00A11B84">
            <w:pPr>
              <w:spacing w:before="60" w:after="60"/>
              <w:ind w:left="284" w:right="284"/>
              <w:jc w:val="right"/>
            </w:pPr>
            <w:r>
              <w:t>1 000</w:t>
            </w:r>
          </w:p>
        </w:tc>
        <w:tc>
          <w:tcPr>
            <w:tcW w:w="1152" w:type="dxa"/>
            <w:vAlign w:val="center"/>
          </w:tcPr>
          <w:p w:rsidR="00282E09" w:rsidRDefault="00282E09" w:rsidP="00A11B84">
            <w:pPr>
              <w:spacing w:before="60" w:after="60"/>
              <w:ind w:left="284" w:right="284"/>
              <w:jc w:val="right"/>
            </w:pPr>
            <w:r>
              <w:t>500</w:t>
            </w:r>
          </w:p>
        </w:tc>
        <w:tc>
          <w:tcPr>
            <w:tcW w:w="1559" w:type="dxa"/>
            <w:vAlign w:val="center"/>
          </w:tcPr>
          <w:p w:rsidR="00282E09" w:rsidRDefault="00282E09" w:rsidP="00A11B84">
            <w:pPr>
              <w:spacing w:before="60" w:after="60"/>
              <w:ind w:left="284" w:right="284"/>
              <w:jc w:val="right"/>
            </w:pPr>
            <w:r>
              <w:t>2 000</w:t>
            </w:r>
          </w:p>
        </w:tc>
        <w:tc>
          <w:tcPr>
            <w:tcW w:w="1400" w:type="dxa"/>
            <w:vAlign w:val="center"/>
          </w:tcPr>
          <w:p w:rsidR="00282E09" w:rsidRDefault="00282E09" w:rsidP="00A11B84">
            <w:pPr>
              <w:spacing w:before="60" w:after="60"/>
              <w:ind w:left="284" w:right="284"/>
              <w:jc w:val="right"/>
            </w:pPr>
            <w:r>
              <w:t>1 000</w:t>
            </w:r>
          </w:p>
        </w:tc>
      </w:tr>
      <w:tr w:rsidR="00282E09" w:rsidTr="00A11B84">
        <w:tc>
          <w:tcPr>
            <w:tcW w:w="3227" w:type="dxa"/>
          </w:tcPr>
          <w:p w:rsidR="00282E09" w:rsidRDefault="00282E09" w:rsidP="00A11B84">
            <w:pPr>
              <w:spacing w:before="60" w:after="60"/>
              <w:rPr>
                <w:b/>
              </w:rPr>
            </w:pPr>
            <w:r>
              <w:rPr>
                <w:b/>
              </w:rPr>
              <w:t xml:space="preserve">Autres marchés de cotation (marché libre, </w:t>
            </w:r>
            <w:proofErr w:type="spellStart"/>
            <w:r>
              <w:rPr>
                <w:b/>
              </w:rPr>
              <w:t>Alternext</w:t>
            </w:r>
            <w:proofErr w:type="spellEnd"/>
            <w:r>
              <w:rPr>
                <w:b/>
              </w:rPr>
              <w:t>, ...)</w:t>
            </w:r>
          </w:p>
        </w:tc>
        <w:tc>
          <w:tcPr>
            <w:tcW w:w="1559" w:type="dxa"/>
            <w:vAlign w:val="center"/>
          </w:tcPr>
          <w:p w:rsidR="00282E09" w:rsidRDefault="00282E09" w:rsidP="00A11B84">
            <w:pPr>
              <w:spacing w:before="60" w:after="60"/>
              <w:ind w:left="284" w:right="284"/>
              <w:jc w:val="right"/>
            </w:pPr>
            <w:r>
              <w:t>500</w:t>
            </w:r>
          </w:p>
        </w:tc>
        <w:tc>
          <w:tcPr>
            <w:tcW w:w="1152" w:type="dxa"/>
            <w:vAlign w:val="center"/>
          </w:tcPr>
          <w:p w:rsidR="00282E09" w:rsidRDefault="00282E09" w:rsidP="00A11B84">
            <w:pPr>
              <w:spacing w:before="60" w:after="60"/>
              <w:ind w:left="284" w:right="284"/>
              <w:jc w:val="right"/>
            </w:pPr>
            <w:r>
              <w:t>250</w:t>
            </w:r>
          </w:p>
        </w:tc>
        <w:tc>
          <w:tcPr>
            <w:tcW w:w="1559" w:type="dxa"/>
            <w:vAlign w:val="center"/>
          </w:tcPr>
          <w:p w:rsidR="00282E09" w:rsidRDefault="00282E09" w:rsidP="00A11B84">
            <w:pPr>
              <w:spacing w:before="60" w:after="60"/>
              <w:ind w:left="284" w:right="284"/>
              <w:jc w:val="right"/>
            </w:pPr>
            <w:r>
              <w:t>1 000</w:t>
            </w:r>
          </w:p>
        </w:tc>
        <w:tc>
          <w:tcPr>
            <w:tcW w:w="1400" w:type="dxa"/>
            <w:vAlign w:val="center"/>
          </w:tcPr>
          <w:p w:rsidR="00282E09" w:rsidRDefault="00282E09" w:rsidP="00A11B84">
            <w:pPr>
              <w:spacing w:before="60" w:after="60"/>
              <w:ind w:left="284" w:right="284"/>
              <w:jc w:val="right"/>
            </w:pPr>
            <w:r>
              <w:t>500</w:t>
            </w:r>
          </w:p>
        </w:tc>
      </w:tr>
      <w:tr w:rsidR="00282E09" w:rsidTr="00A11B84">
        <w:tc>
          <w:tcPr>
            <w:tcW w:w="3227" w:type="dxa"/>
          </w:tcPr>
          <w:p w:rsidR="00282E09" w:rsidRDefault="00282E09" w:rsidP="00A11B84">
            <w:pPr>
              <w:spacing w:before="60" w:after="60"/>
              <w:rPr>
                <w:b/>
              </w:rPr>
            </w:pPr>
            <w:r>
              <w:rPr>
                <w:b/>
              </w:rPr>
              <w:t xml:space="preserve">Sociétés dont les titres financiers ne sont pas </w:t>
            </w:r>
            <w:proofErr w:type="gramStart"/>
            <w:r>
              <w:rPr>
                <w:b/>
              </w:rPr>
              <w:t>admis</w:t>
            </w:r>
            <w:proofErr w:type="gramEnd"/>
            <w:r>
              <w:rPr>
                <w:b/>
              </w:rPr>
              <w:t xml:space="preserve"> aux négociations sur un marché</w:t>
            </w:r>
          </w:p>
        </w:tc>
        <w:tc>
          <w:tcPr>
            <w:tcW w:w="1559" w:type="dxa"/>
            <w:vAlign w:val="center"/>
          </w:tcPr>
          <w:p w:rsidR="00282E09" w:rsidRDefault="00282E09" w:rsidP="00A11B84">
            <w:pPr>
              <w:spacing w:before="60" w:after="60"/>
              <w:ind w:left="284" w:right="284"/>
              <w:jc w:val="right"/>
            </w:pPr>
            <w:r>
              <w:t>20</w:t>
            </w:r>
          </w:p>
        </w:tc>
        <w:tc>
          <w:tcPr>
            <w:tcW w:w="1152" w:type="dxa"/>
            <w:vAlign w:val="center"/>
          </w:tcPr>
          <w:p w:rsidR="00282E09" w:rsidRDefault="00282E09" w:rsidP="00A11B84">
            <w:pPr>
              <w:spacing w:before="60" w:after="60"/>
              <w:ind w:left="284" w:right="284"/>
              <w:jc w:val="right"/>
            </w:pPr>
            <w:r>
              <w:t>10</w:t>
            </w:r>
          </w:p>
        </w:tc>
        <w:tc>
          <w:tcPr>
            <w:tcW w:w="1559" w:type="dxa"/>
            <w:vAlign w:val="center"/>
          </w:tcPr>
          <w:p w:rsidR="00282E09" w:rsidRDefault="00282E09" w:rsidP="00A11B84">
            <w:pPr>
              <w:spacing w:before="60" w:after="60"/>
              <w:ind w:left="284" w:right="284"/>
              <w:jc w:val="right"/>
            </w:pPr>
            <w:r>
              <w:t>40</w:t>
            </w:r>
          </w:p>
        </w:tc>
        <w:tc>
          <w:tcPr>
            <w:tcW w:w="1400" w:type="dxa"/>
            <w:vAlign w:val="center"/>
          </w:tcPr>
          <w:p w:rsidR="00282E09" w:rsidRDefault="00282E09" w:rsidP="00A11B84">
            <w:pPr>
              <w:spacing w:before="60" w:after="60"/>
              <w:ind w:left="284" w:right="284"/>
              <w:jc w:val="right"/>
            </w:pPr>
            <w:r>
              <w:t>20</w:t>
            </w:r>
          </w:p>
        </w:tc>
      </w:tr>
    </w:tbl>
    <w:p w:rsidR="00282E09" w:rsidRDefault="00282E09" w:rsidP="00282E09">
      <w:pPr>
        <w:tabs>
          <w:tab w:val="left" w:pos="1965"/>
        </w:tabs>
      </w:pPr>
    </w:p>
    <w:p w:rsidR="00282E09" w:rsidRDefault="00282E09" w:rsidP="00282E09">
      <w:pPr>
        <w:pStyle w:val="CACTitre3"/>
        <w:rPr>
          <w:rStyle w:val="lev"/>
        </w:rPr>
      </w:pPr>
      <w:bookmarkStart w:id="16" w:name="_Toc452385956"/>
      <w:r>
        <w:rPr>
          <w:rStyle w:val="lev"/>
        </w:rPr>
        <w:t>Outils disponibles</w:t>
      </w:r>
      <w:bookmarkEnd w:id="16"/>
    </w:p>
    <w:p w:rsidR="00282E09" w:rsidRPr="00BA33C3" w:rsidRDefault="00282E09" w:rsidP="00282E09">
      <w:pPr>
        <w:rPr>
          <w:rStyle w:val="lev"/>
        </w:rPr>
      </w:pPr>
    </w:p>
    <w:p w:rsidR="00282E09" w:rsidRDefault="00282E09" w:rsidP="00282E09">
      <w:r w:rsidRPr="00BF4D2D">
        <w:t>Bordereaux de cotisations H3C (CRCC).</w:t>
      </w:r>
    </w:p>
    <w:p w:rsidR="00282E09" w:rsidRDefault="00282E09" w:rsidP="00282E09">
      <w:pPr>
        <w:pStyle w:val="Titre3"/>
        <w:numPr>
          <w:ilvl w:val="0"/>
          <w:numId w:val="0"/>
        </w:numPr>
        <w:ind w:left="1224"/>
      </w:pPr>
      <w:bookmarkStart w:id="17" w:name="_3.1.3._RELATIONS_AVEC"/>
      <w:bookmarkStart w:id="18" w:name="_Toc335388803"/>
      <w:bookmarkEnd w:id="17"/>
    </w:p>
    <w:p w:rsidR="00282E09" w:rsidRDefault="00282E09" w:rsidP="00282E09">
      <w:pPr>
        <w:pStyle w:val="CACTitre2"/>
      </w:pPr>
      <w:bookmarkStart w:id="19" w:name="_Toc427855163"/>
      <w:bookmarkStart w:id="20" w:name="_Toc452385957"/>
      <w:r>
        <w:t>RELATIONS AVEC L’AMF</w:t>
      </w:r>
      <w:bookmarkEnd w:id="18"/>
      <w:bookmarkEnd w:id="19"/>
      <w:bookmarkEnd w:id="20"/>
    </w:p>
    <w:p w:rsidR="00282E09" w:rsidRPr="009C6D83" w:rsidRDefault="00282E09" w:rsidP="00282E09">
      <w:pPr>
        <w:rPr>
          <w:b/>
          <w:bCs/>
        </w:rPr>
      </w:pPr>
    </w:p>
    <w:p w:rsidR="00282E09" w:rsidRPr="00252117" w:rsidRDefault="00282E09" w:rsidP="00282E09">
      <w:pPr>
        <w:pStyle w:val="CACTitre3"/>
        <w:rPr>
          <w:rStyle w:val="lev"/>
        </w:rPr>
      </w:pPr>
      <w:bookmarkStart w:id="21" w:name="_Toc452385958"/>
      <w:r w:rsidRPr="00DB7459">
        <w:rPr>
          <w:rStyle w:val="lev"/>
          <w:bCs w:val="0"/>
        </w:rPr>
        <w:t>Textes</w:t>
      </w:r>
      <w:r>
        <w:rPr>
          <w:rStyle w:val="lev"/>
        </w:rPr>
        <w:t xml:space="preserve"> de référence</w:t>
      </w:r>
      <w:bookmarkEnd w:id="21"/>
    </w:p>
    <w:p w:rsidR="00282E09" w:rsidRDefault="00282E09" w:rsidP="00282E09"/>
    <w:p w:rsidR="00282E09" w:rsidRDefault="00282E09" w:rsidP="00282E09">
      <w:pPr>
        <w:pStyle w:val="Paragraphedeliste"/>
        <w:numPr>
          <w:ilvl w:val="0"/>
          <w:numId w:val="23"/>
        </w:numPr>
        <w:spacing w:before="60" w:after="60"/>
      </w:pPr>
      <w:r>
        <w:t>Code monétaire et financier : articles L. 621-18, alinéa 2, L. 621-22 (I à V) et L. 621-9-2.</w:t>
      </w:r>
    </w:p>
    <w:p w:rsidR="00282E09" w:rsidRDefault="00282E09" w:rsidP="00282E09">
      <w:pPr>
        <w:pStyle w:val="Paragraphedeliste"/>
        <w:numPr>
          <w:ilvl w:val="0"/>
          <w:numId w:val="23"/>
        </w:numPr>
        <w:spacing w:before="60" w:after="60"/>
      </w:pPr>
      <w:r>
        <w:t>Code de commerce : articles R. 823-1 et L. 821-8 alinéa 2.</w:t>
      </w:r>
    </w:p>
    <w:p w:rsidR="00282E09" w:rsidRDefault="00282E09" w:rsidP="00282E09">
      <w:pPr>
        <w:pStyle w:val="Paragraphedeliste"/>
        <w:numPr>
          <w:ilvl w:val="0"/>
          <w:numId w:val="23"/>
        </w:numPr>
        <w:spacing w:before="60" w:after="60"/>
      </w:pPr>
      <w:r>
        <w:t>Code de déontologie de la profession de commissaire aux comptes : article 12 alinéa 5.</w:t>
      </w:r>
    </w:p>
    <w:p w:rsidR="00282E09" w:rsidRDefault="00282E09" w:rsidP="00282E09"/>
    <w:p w:rsidR="00282E09" w:rsidRPr="00252117" w:rsidRDefault="00282E09" w:rsidP="00282E09">
      <w:pPr>
        <w:pStyle w:val="CACTitre3"/>
        <w:rPr>
          <w:rStyle w:val="lev"/>
        </w:rPr>
      </w:pPr>
      <w:bookmarkStart w:id="22" w:name="_Toc452385959"/>
      <w:r>
        <w:rPr>
          <w:rStyle w:val="lev"/>
        </w:rPr>
        <w:t>Descriptif de l’obligation ou de la spécificité pour l’émetteur</w:t>
      </w:r>
      <w:bookmarkEnd w:id="22"/>
    </w:p>
    <w:p w:rsidR="00282E09" w:rsidRDefault="00282E09" w:rsidP="00282E09"/>
    <w:p w:rsidR="00282E09" w:rsidRDefault="00282E09" w:rsidP="00282E09">
      <w:r>
        <w:t>Non applicable</w:t>
      </w:r>
    </w:p>
    <w:p w:rsidR="00282E09" w:rsidRDefault="00282E09" w:rsidP="00282E09"/>
    <w:p w:rsidR="00282E09" w:rsidRPr="00252117" w:rsidRDefault="00282E09" w:rsidP="00282E09">
      <w:pPr>
        <w:pStyle w:val="CACTitre3"/>
        <w:rPr>
          <w:rStyle w:val="lev"/>
        </w:rPr>
      </w:pPr>
      <w:bookmarkStart w:id="23" w:name="_Toc452385960"/>
      <w:r>
        <w:rPr>
          <w:rStyle w:val="lev"/>
        </w:rPr>
        <w:t>Descriptif de l’obligation ou de la spécificité pour le(s) commissaire(s) aux comptes / points pour attention</w:t>
      </w:r>
      <w:bookmarkEnd w:id="23"/>
    </w:p>
    <w:p w:rsidR="00282E09" w:rsidRDefault="00282E09" w:rsidP="00282E09">
      <w:pPr>
        <w:rPr>
          <w:u w:val="single"/>
        </w:rPr>
      </w:pPr>
    </w:p>
    <w:p w:rsidR="00282E09" w:rsidRPr="000911AB" w:rsidRDefault="00282E09" w:rsidP="00282E09">
      <w:pPr>
        <w:pStyle w:val="CACTitre4"/>
      </w:pPr>
      <w:r w:rsidRPr="000911AB">
        <w:t>OBLIGATIONS DES COMMISSAIRES AUX COMPTES</w:t>
      </w:r>
    </w:p>
    <w:p w:rsidR="00282E09" w:rsidRDefault="00282E09" w:rsidP="00282E09"/>
    <w:p w:rsidR="00282E09" w:rsidRPr="007B5A35" w:rsidRDefault="00282E09" w:rsidP="00282E09">
      <w:pPr>
        <w:rPr>
          <w:u w:val="single"/>
        </w:rPr>
      </w:pPr>
      <w:r w:rsidRPr="007B5A35">
        <w:rPr>
          <w:u w:val="single"/>
        </w:rPr>
        <w:t>Devoir d'information de l'AMF</w:t>
      </w:r>
    </w:p>
    <w:p w:rsidR="00282E09" w:rsidRDefault="00282E09" w:rsidP="00282E09">
      <w:pPr>
        <w:pStyle w:val="Paragraphedeliste"/>
        <w:numPr>
          <w:ilvl w:val="0"/>
          <w:numId w:val="27"/>
        </w:numPr>
        <w:spacing w:before="60" w:after="60"/>
      </w:pPr>
      <w:r>
        <w:t>Nomination, renouvellement ou démission (</w:t>
      </w:r>
      <w:r w:rsidRPr="00F6446F">
        <w:t xml:space="preserve">cf. </w:t>
      </w:r>
      <w:r>
        <w:t>§</w:t>
      </w:r>
      <w:r w:rsidRPr="00F6446F">
        <w:t xml:space="preserve"> </w:t>
      </w:r>
      <w:r w:rsidRPr="00C41466">
        <w:t>1.1</w:t>
      </w:r>
      <w:r w:rsidRPr="00F6446F">
        <w:t xml:space="preserve"> et </w:t>
      </w:r>
      <w:r w:rsidRPr="00C41466">
        <w:t>2.3</w:t>
      </w:r>
      <w:r>
        <w:t xml:space="preserve"> de la section </w:t>
      </w:r>
      <w:r w:rsidRPr="00C04A90">
        <w:t>200 de ce chapitre</w:t>
      </w:r>
      <w:r>
        <w:t>).</w:t>
      </w:r>
    </w:p>
    <w:p w:rsidR="00282E09" w:rsidRDefault="00282E09" w:rsidP="00282E09">
      <w:pPr>
        <w:pStyle w:val="Paragraphedeliste"/>
        <w:numPr>
          <w:ilvl w:val="0"/>
          <w:numId w:val="27"/>
        </w:numPr>
        <w:spacing w:before="60" w:after="60"/>
      </w:pPr>
      <w:r>
        <w:t>Intention de refuser la certification des comptes.</w:t>
      </w:r>
    </w:p>
    <w:p w:rsidR="00282E09" w:rsidRDefault="00282E09" w:rsidP="00282E09">
      <w:pPr>
        <w:ind w:left="709"/>
      </w:pPr>
      <w:r>
        <w:t>L'obligation d'information de l'AMF vise toute forme d'opinion comportant un refus de certification. Il est également vivement recommandé aux commissaires aux comptes d'informer l'AMF de tout fait ou décision de nature à justifier son intention d'émettre une opinion assortie d'une ou plusieurs réserves.</w:t>
      </w:r>
    </w:p>
    <w:p w:rsidR="00282E09" w:rsidRDefault="00282E09" w:rsidP="00282E09">
      <w:pPr>
        <w:ind w:left="709"/>
      </w:pPr>
      <w:r>
        <w:t>L'obligation de communication à l'AMF (article L. 621-22 (II alinéa 2)) ne s'applique que pour la certification. Il est toutefois vivement recommandé aux commissaires aux comptes d'informer l'AMF de la même manière dans le cadre d'un examen limité semestriel.</w:t>
      </w:r>
    </w:p>
    <w:p w:rsidR="00282E09" w:rsidRDefault="00282E09" w:rsidP="00282E09">
      <w:pPr>
        <w:ind w:left="709"/>
      </w:pPr>
      <w:r>
        <w:t xml:space="preserve">(cf. </w:t>
      </w:r>
      <w:hyperlink r:id="rId14" w:history="1">
        <w:r w:rsidRPr="009C6D83">
          <w:rPr>
            <w:rStyle w:val="Lienhypertexte"/>
          </w:rPr>
          <w:t>Guide de lecture</w:t>
        </w:r>
      </w:hyperlink>
      <w:r>
        <w:t xml:space="preserve"> de l'article L. 621-22 du code monétaire et financier de juillet 2010 publié par l'AMF et la CNCC - § 2.2.1 en particulier sur le moment approprié de la communication).</w:t>
      </w:r>
    </w:p>
    <w:p w:rsidR="00282E09" w:rsidRDefault="00282E09" w:rsidP="00282E09">
      <w:pPr>
        <w:pStyle w:val="Paragraphedeliste"/>
        <w:numPr>
          <w:ilvl w:val="0"/>
          <w:numId w:val="28"/>
        </w:numPr>
        <w:spacing w:before="60" w:after="60"/>
      </w:pPr>
      <w:r>
        <w:t>Procédure d'alerte (copie du courrier - phase 2 de la procédure) (</w:t>
      </w:r>
      <w:r w:rsidRPr="00C41466">
        <w:t xml:space="preserve">cf. </w:t>
      </w:r>
      <w:r>
        <w:t xml:space="preserve">§ </w:t>
      </w:r>
      <w:r w:rsidRPr="00C41466">
        <w:t>3.2</w:t>
      </w:r>
      <w:r>
        <w:t xml:space="preserve"> de la section 300 de ce chapitre).</w:t>
      </w:r>
    </w:p>
    <w:p w:rsidR="00282E09" w:rsidRDefault="00282E09" w:rsidP="00282E09">
      <w:pPr>
        <w:pStyle w:val="Paragraphedeliste"/>
        <w:numPr>
          <w:ilvl w:val="0"/>
          <w:numId w:val="28"/>
        </w:numPr>
        <w:spacing w:before="60" w:after="60"/>
      </w:pPr>
      <w:r>
        <w:lastRenderedPageBreak/>
        <w:t>Irrégularités et inexactitudes signalées à l'assemblée générale.</w:t>
      </w:r>
    </w:p>
    <w:p w:rsidR="00282E09" w:rsidRDefault="00282E09" w:rsidP="00282E09">
      <w:pPr>
        <w:ind w:left="709"/>
      </w:pPr>
      <w:r>
        <w:t>Concernant la communication à l'AMF des irrégularités visée au IV de l'article L. 621-22, il convient de préciser qu'il s'agit des irrégularités et inexactitudes signalées, soit dans le rapport sur les comptes présenté à l'assemblée annuelle, soit dans une communication ad hoc à l'assemblée générale annuelle ou à une autre assemblée, ou encore dans un rapport spécifique (conventions réglementées, contrôle interne, prévention des difficultés des entreprises, etc.).</w:t>
      </w:r>
    </w:p>
    <w:p w:rsidR="00282E09" w:rsidRDefault="00282E09" w:rsidP="00282E09">
      <w:pPr>
        <w:tabs>
          <w:tab w:val="left" w:pos="1965"/>
        </w:tabs>
        <w:ind w:left="709"/>
      </w:pPr>
      <w:r>
        <w:t>Les commissaires aux comptes informent l'AMF de toutes les irrégularités qu'ils estiment devoir communiquer à l'assemblée générale, sans préjuger de l'attention que pourra y porter l'AMF.</w:t>
      </w:r>
    </w:p>
    <w:p w:rsidR="00282E09" w:rsidRDefault="00282E09" w:rsidP="00282E09">
      <w:pPr>
        <w:tabs>
          <w:tab w:val="left" w:pos="1965"/>
        </w:tabs>
        <w:ind w:left="709"/>
      </w:pPr>
      <w:r>
        <w:t xml:space="preserve">(cf. </w:t>
      </w:r>
      <w:hyperlink r:id="rId15" w:history="1">
        <w:r w:rsidRPr="009C6D83">
          <w:rPr>
            <w:rStyle w:val="Lienhypertexte"/>
          </w:rPr>
          <w:t>Guide de lecture</w:t>
        </w:r>
      </w:hyperlink>
      <w:r>
        <w:rPr>
          <w:rStyle w:val="Lienhypertexte"/>
        </w:rPr>
        <w:t xml:space="preserve"> </w:t>
      </w:r>
      <w:r>
        <w:t>- § 2.2.3).</w:t>
      </w:r>
    </w:p>
    <w:p w:rsidR="00282E09" w:rsidRDefault="00282E09" w:rsidP="00282E09">
      <w:pPr>
        <w:tabs>
          <w:tab w:val="left" w:pos="1965"/>
        </w:tabs>
      </w:pPr>
    </w:p>
    <w:p w:rsidR="00282E09" w:rsidRPr="007B5A35" w:rsidRDefault="00282E09" w:rsidP="00282E09">
      <w:pPr>
        <w:tabs>
          <w:tab w:val="left" w:pos="1965"/>
        </w:tabs>
        <w:rPr>
          <w:u w:val="single"/>
        </w:rPr>
      </w:pPr>
      <w:r w:rsidRPr="007B5A35">
        <w:rPr>
          <w:u w:val="single"/>
        </w:rPr>
        <w:t>Droit pour l'AMF d'interroger les commissaires aux comptes</w:t>
      </w:r>
    </w:p>
    <w:p w:rsidR="00282E09" w:rsidRDefault="00282E09" w:rsidP="00282E09">
      <w:pPr>
        <w:tabs>
          <w:tab w:val="left" w:pos="1965"/>
        </w:tabs>
      </w:pPr>
    </w:p>
    <w:p w:rsidR="00282E09" w:rsidRDefault="00282E09" w:rsidP="00282E09">
      <w:pPr>
        <w:tabs>
          <w:tab w:val="left" w:pos="1965"/>
        </w:tabs>
      </w:pPr>
      <w:r>
        <w:t>L'AMF bénéficie du droit d'interrogation dans le cadre de sa mission de surveillance générale de l'information financière.</w:t>
      </w:r>
    </w:p>
    <w:p w:rsidR="00282E09" w:rsidRDefault="00282E09" w:rsidP="00282E09">
      <w:pPr>
        <w:tabs>
          <w:tab w:val="left" w:pos="1965"/>
        </w:tabs>
      </w:pPr>
      <w:r>
        <w:t>Dans tous les cas, l'AMF s'adresse en priorité à l'émetteur, notamment pour l'obtention de documents internes à l'entité et pour toute question relative à son activité et ses opérations, ainsi que pour toute question portant sur des points de gestion ou sur des traitements comptables, le cas échéant, en liaison avec ses commissaires aux comptes. En ce qui concerne les commissaires aux comptes, les interrogations de l'AMF ne portent pas, en dehors des procédures d'inspection, sur le cabinet de commissariat aux comptes titulaire du mandat, son organisation ou ses procédures, mais sur le dossier de l'entité. Les interrogations de l'AMF ne portent pas sur l'ensemble du dossier, mais sur des aspects spécifiques, tels que les diligences d'audit, l'appréciation des traitements comptables de points particuliers décrits et justifiés préalablement par l'émetteur, les honoraires ou les aspects déontologiques liés à la mission du commissaire aux comptes. Si l'AMF ne parvient pas à obtenir une réponse appropriée à ses interrogations, elle peut exiger la communication des éléments du dossier de travail correspondant à sa demande.</w:t>
      </w:r>
    </w:p>
    <w:p w:rsidR="00282E09" w:rsidRDefault="00282E09" w:rsidP="00282E09">
      <w:pPr>
        <w:tabs>
          <w:tab w:val="left" w:pos="1965"/>
        </w:tabs>
      </w:pPr>
      <w:r>
        <w:t>Lorsque l'AMF juge nécessaire d'obtenir l'ensemble du dossier, elle a la possibilité indépendamment des enquêtes conduites sur l'information publiée par les émetteurs de déclencher une inspection du commissaire aux comptes.</w:t>
      </w:r>
    </w:p>
    <w:p w:rsidR="00282E09" w:rsidRDefault="00282E09" w:rsidP="00282E09">
      <w:pPr>
        <w:tabs>
          <w:tab w:val="left" w:pos="1965"/>
        </w:tabs>
      </w:pPr>
      <w:r>
        <w:t xml:space="preserve">(cf. </w:t>
      </w:r>
      <w:hyperlink r:id="rId16" w:history="1">
        <w:r w:rsidR="00A11B84" w:rsidRPr="009C6D83">
          <w:rPr>
            <w:rStyle w:val="Lienhypertexte"/>
          </w:rPr>
          <w:t>Guide de lecture</w:t>
        </w:r>
      </w:hyperlink>
      <w:r>
        <w:rPr>
          <w:rStyle w:val="Lienhypertexte"/>
        </w:rPr>
        <w:t xml:space="preserve"> </w:t>
      </w:r>
      <w:r w:rsidRPr="00C41466">
        <w:t>- § 3.2</w:t>
      </w:r>
      <w:r>
        <w:t>).</w:t>
      </w:r>
    </w:p>
    <w:p w:rsidR="00282E09" w:rsidRDefault="00282E09" w:rsidP="00282E09">
      <w:pPr>
        <w:tabs>
          <w:tab w:val="left" w:pos="1965"/>
        </w:tabs>
      </w:pPr>
    </w:p>
    <w:p w:rsidR="00282E09" w:rsidRPr="007B5A35" w:rsidRDefault="00282E09" w:rsidP="00282E09">
      <w:pPr>
        <w:pStyle w:val="CACTitre4"/>
      </w:pPr>
      <w:r w:rsidRPr="007B5A35">
        <w:t>DROITS DES COMMISSAIRES AUX COMPTES</w:t>
      </w:r>
    </w:p>
    <w:p w:rsidR="00282E09" w:rsidRDefault="00282E09" w:rsidP="00282E09">
      <w:pPr>
        <w:tabs>
          <w:tab w:val="left" w:pos="1965"/>
        </w:tabs>
      </w:pPr>
    </w:p>
    <w:p w:rsidR="00282E09" w:rsidRPr="007B5A35" w:rsidRDefault="00282E09" w:rsidP="00282E09">
      <w:pPr>
        <w:tabs>
          <w:tab w:val="left" w:pos="1965"/>
        </w:tabs>
        <w:rPr>
          <w:u w:val="single"/>
        </w:rPr>
      </w:pPr>
      <w:r w:rsidRPr="007B5A35">
        <w:rPr>
          <w:u w:val="single"/>
        </w:rPr>
        <w:t>Possibilité pour les commissaires aux comptes d'interroger l'AMF</w:t>
      </w:r>
    </w:p>
    <w:p w:rsidR="00282E09" w:rsidRDefault="00282E09" w:rsidP="00282E09">
      <w:pPr>
        <w:tabs>
          <w:tab w:val="left" w:pos="1965"/>
        </w:tabs>
      </w:pPr>
    </w:p>
    <w:p w:rsidR="00282E09" w:rsidRDefault="00282E09" w:rsidP="00282E09">
      <w:pPr>
        <w:tabs>
          <w:tab w:val="left" w:pos="1965"/>
        </w:tabs>
      </w:pPr>
      <w:r>
        <w:t>Le droit pour les commissaires aux comptes d'interroger l'AMF s'applique le plus largement possible à toute question intéressant l'information financière, qu'il s'agisse de traitements comptables, de problèmes d'audit, de questions relatives au contenu des prospectus notamment.</w:t>
      </w:r>
    </w:p>
    <w:p w:rsidR="00282E09" w:rsidRDefault="00282E09" w:rsidP="00282E09">
      <w:pPr>
        <w:tabs>
          <w:tab w:val="left" w:pos="1965"/>
        </w:tabs>
      </w:pPr>
      <w:r>
        <w:t>Les commissaires aux comptes privilégient les questions formulées par écrit. Ils exposent clairement la difficulté rencontrée et communiquent toutes les informations utiles et nécessaires à l'AMF pour formuler sa réponse.</w:t>
      </w:r>
    </w:p>
    <w:p w:rsidR="00282E09" w:rsidRDefault="00282E09" w:rsidP="00282E09">
      <w:pPr>
        <w:tabs>
          <w:tab w:val="left" w:pos="1965"/>
        </w:tabs>
      </w:pPr>
      <w:r>
        <w:t>L'AMF répond par écrit aux questions écrites faisant explicitement référence à la procédure prévue à l'article L. 621-22 du code monétaire et financier.</w:t>
      </w:r>
    </w:p>
    <w:p w:rsidR="00282E09" w:rsidRDefault="00282E09" w:rsidP="00282E09">
      <w:pPr>
        <w:tabs>
          <w:tab w:val="left" w:pos="1965"/>
        </w:tabs>
      </w:pPr>
      <w:r>
        <w:t xml:space="preserve">(cf. </w:t>
      </w:r>
      <w:hyperlink r:id="rId17" w:history="1">
        <w:r w:rsidR="00A11B84" w:rsidRPr="009C6D83">
          <w:rPr>
            <w:rStyle w:val="Lienhypertexte"/>
          </w:rPr>
          <w:t xml:space="preserve">Guide </w:t>
        </w:r>
        <w:r w:rsidR="00A11B84">
          <w:rPr>
            <w:rStyle w:val="Lienhypertexte"/>
          </w:rPr>
          <w:t>précité</w:t>
        </w:r>
      </w:hyperlink>
      <w:r>
        <w:t xml:space="preserve"> - § 4.1).</w:t>
      </w:r>
    </w:p>
    <w:p w:rsidR="00282E09" w:rsidRDefault="00282E09" w:rsidP="00282E09">
      <w:pPr>
        <w:tabs>
          <w:tab w:val="left" w:pos="1965"/>
        </w:tabs>
      </w:pPr>
    </w:p>
    <w:p w:rsidR="00282E09" w:rsidRPr="007B5A35" w:rsidRDefault="00282E09" w:rsidP="00282E09">
      <w:pPr>
        <w:pStyle w:val="CACTitre4"/>
      </w:pPr>
      <w:r w:rsidRPr="007B5A35">
        <w:t xml:space="preserve">AUTRES DISPOSITIONS RELATIVES AUX PRÉROGATIVES DE L'AMF </w:t>
      </w:r>
    </w:p>
    <w:p w:rsidR="00282E09" w:rsidRDefault="00282E09" w:rsidP="00282E09">
      <w:pPr>
        <w:tabs>
          <w:tab w:val="left" w:pos="1965"/>
        </w:tabs>
      </w:pPr>
    </w:p>
    <w:p w:rsidR="00282E09" w:rsidRDefault="00282E09" w:rsidP="00282E09">
      <w:pPr>
        <w:pStyle w:val="Paragraphedeliste"/>
        <w:numPr>
          <w:ilvl w:val="0"/>
          <w:numId w:val="29"/>
        </w:numPr>
        <w:tabs>
          <w:tab w:val="left" w:pos="1965"/>
        </w:tabs>
        <w:spacing w:before="60" w:after="60"/>
      </w:pPr>
      <w:r w:rsidRPr="007B5A35">
        <w:rPr>
          <w:b/>
        </w:rPr>
        <w:t>Recours de l'AMF à des diligences particulières du commissaire aux comptes donnant lieu à l'émission d'un rapport particulier</w:t>
      </w:r>
      <w:r>
        <w:t xml:space="preserve"> (article L. 621-9-2 du code monétaire et financier).</w:t>
      </w:r>
    </w:p>
    <w:p w:rsidR="00282E09" w:rsidRDefault="00282E09" w:rsidP="00282E09">
      <w:pPr>
        <w:pStyle w:val="Paragraphedeliste"/>
        <w:numPr>
          <w:ilvl w:val="0"/>
          <w:numId w:val="29"/>
        </w:numPr>
        <w:tabs>
          <w:tab w:val="left" w:pos="1965"/>
        </w:tabs>
        <w:spacing w:before="60" w:after="60"/>
      </w:pPr>
      <w:r w:rsidRPr="007B5A35">
        <w:rPr>
          <w:b/>
        </w:rPr>
        <w:lastRenderedPageBreak/>
        <w:t>Inspections</w:t>
      </w:r>
      <w:r>
        <w:t xml:space="preserve"> (article L. 821-8, alinéa 2 du code de commerce).</w:t>
      </w:r>
    </w:p>
    <w:p w:rsidR="00282E09" w:rsidRDefault="00282E09" w:rsidP="00282E09">
      <w:pPr>
        <w:tabs>
          <w:tab w:val="left" w:pos="1965"/>
        </w:tabs>
      </w:pPr>
    </w:p>
    <w:p w:rsidR="00282E09" w:rsidRDefault="00282E09" w:rsidP="00282E09">
      <w:pPr>
        <w:pStyle w:val="CACTitre3"/>
        <w:rPr>
          <w:rStyle w:val="lev"/>
        </w:rPr>
      </w:pPr>
      <w:bookmarkStart w:id="24" w:name="_Toc452385961"/>
      <w:r>
        <w:rPr>
          <w:rStyle w:val="lev"/>
        </w:rPr>
        <w:t>Outils disponibles</w:t>
      </w:r>
      <w:bookmarkEnd w:id="24"/>
    </w:p>
    <w:p w:rsidR="00282E09" w:rsidRPr="009C6D83" w:rsidRDefault="00282E09" w:rsidP="00282E09">
      <w:pPr>
        <w:tabs>
          <w:tab w:val="left" w:pos="1965"/>
        </w:tabs>
        <w:rPr>
          <w:b/>
          <w:bCs/>
        </w:rPr>
      </w:pPr>
    </w:p>
    <w:p w:rsidR="00282E09" w:rsidRDefault="00282E09" w:rsidP="00282E09">
      <w:r w:rsidRPr="007B5A35">
        <w:t xml:space="preserve">Les relations entre les commissaires aux comptes et l'AMF : Actualisation du </w:t>
      </w:r>
      <w:hyperlink r:id="rId18" w:history="1">
        <w:r w:rsidR="00A11B84" w:rsidRPr="009C6D83">
          <w:rPr>
            <w:rStyle w:val="Lienhypertexte"/>
          </w:rPr>
          <w:t>Guide de lecture</w:t>
        </w:r>
      </w:hyperlink>
      <w:r w:rsidRPr="00C41466">
        <w:t xml:space="preserve"> de l'article L. 621-22 du code monétaire et financier (juillet 2010)</w:t>
      </w:r>
      <w:r w:rsidRPr="007B5A35">
        <w:t>.</w:t>
      </w:r>
      <w:r>
        <w:t xml:space="preserve"> (Cf. section 400 du </w:t>
      </w:r>
      <w:hyperlink r:id="rId19" w:history="1">
        <w:r w:rsidRPr="00C04A90">
          <w:rPr>
            <w:rStyle w:val="Lienhypertexte"/>
          </w:rPr>
          <w:t>chapitre 0130</w:t>
        </w:r>
      </w:hyperlink>
      <w:r>
        <w:t>)</w:t>
      </w:r>
    </w:p>
    <w:p w:rsidR="00282E09" w:rsidRDefault="00282E09" w:rsidP="00282E09"/>
    <w:p w:rsidR="00282E09" w:rsidRDefault="00282E09" w:rsidP="00282E09">
      <w:pPr>
        <w:pStyle w:val="CACTitre1"/>
        <w:numPr>
          <w:ilvl w:val="0"/>
          <w:numId w:val="4"/>
        </w:numPr>
      </w:pPr>
      <w:bookmarkStart w:id="25" w:name="_Toc335388804"/>
      <w:bookmarkStart w:id="26" w:name="_Toc427855164"/>
      <w:bookmarkStart w:id="27" w:name="_Toc452385962"/>
      <w:r>
        <w:t>RELATIONS AVEC L’ENTITE</w:t>
      </w:r>
      <w:bookmarkEnd w:id="25"/>
      <w:bookmarkEnd w:id="26"/>
      <w:bookmarkEnd w:id="27"/>
    </w:p>
    <w:p w:rsidR="00282E09" w:rsidRPr="009C6D83" w:rsidRDefault="00282E09" w:rsidP="00282E09">
      <w:pPr>
        <w:tabs>
          <w:tab w:val="left" w:pos="1965"/>
        </w:tabs>
        <w:rPr>
          <w:b/>
          <w:bCs/>
        </w:rPr>
      </w:pPr>
      <w:bookmarkStart w:id="28" w:name="_3.2.1._INDEPENDANCE_ET"/>
      <w:bookmarkStart w:id="29" w:name="_Toc335388805"/>
      <w:bookmarkEnd w:id="28"/>
    </w:p>
    <w:p w:rsidR="00282E09" w:rsidRDefault="00282E09" w:rsidP="00282E09">
      <w:pPr>
        <w:pStyle w:val="CACTitre2"/>
      </w:pPr>
      <w:bookmarkStart w:id="30" w:name="_Toc427855165"/>
      <w:bookmarkStart w:id="31" w:name="_Toc452385963"/>
      <w:r>
        <w:t>INDEPENDANCE ET RELATIONS AVEC LE COMITE SPECIALISE (COMITE D’AUDIT)</w:t>
      </w:r>
      <w:bookmarkEnd w:id="29"/>
      <w:bookmarkEnd w:id="30"/>
      <w:bookmarkEnd w:id="31"/>
    </w:p>
    <w:p w:rsidR="00282E09" w:rsidRDefault="00282E09" w:rsidP="00282E09">
      <w:pPr>
        <w:rPr>
          <w:rStyle w:val="lev"/>
        </w:rPr>
      </w:pPr>
    </w:p>
    <w:p w:rsidR="00282E09" w:rsidRDefault="00282E09" w:rsidP="00282E09">
      <w:pPr>
        <w:pStyle w:val="CACTitre3"/>
        <w:rPr>
          <w:rStyle w:val="lev"/>
        </w:rPr>
      </w:pPr>
      <w:bookmarkStart w:id="32" w:name="_Toc452385964"/>
      <w:r>
        <w:rPr>
          <w:rStyle w:val="lev"/>
        </w:rPr>
        <w:t>Textes de référence</w:t>
      </w:r>
      <w:bookmarkEnd w:id="32"/>
    </w:p>
    <w:p w:rsidR="00282E09" w:rsidRPr="009C6D83" w:rsidRDefault="00282E09" w:rsidP="00282E09">
      <w:pPr>
        <w:tabs>
          <w:tab w:val="left" w:pos="1965"/>
        </w:tabs>
      </w:pPr>
    </w:p>
    <w:p w:rsidR="00282E09" w:rsidRDefault="00282E09" w:rsidP="00282E09">
      <w:pPr>
        <w:pStyle w:val="Paragraphedeliste"/>
        <w:numPr>
          <w:ilvl w:val="0"/>
          <w:numId w:val="23"/>
        </w:numPr>
        <w:spacing w:before="60" w:after="60"/>
      </w:pPr>
      <w:r>
        <w:t>Code de commerce : articles L. 823-16 alinéa 6 et L. 823-19 alinéa 3.</w:t>
      </w:r>
    </w:p>
    <w:p w:rsidR="00282E09" w:rsidRDefault="00AF58A5" w:rsidP="00282E09">
      <w:pPr>
        <w:pStyle w:val="Paragraphedeliste"/>
        <w:numPr>
          <w:ilvl w:val="0"/>
          <w:numId w:val="23"/>
        </w:numPr>
        <w:spacing w:before="60" w:after="60"/>
      </w:pPr>
      <w:hyperlink r:id="rId20" w:history="1">
        <w:r w:rsidR="00282E09" w:rsidRPr="000E6EE2">
          <w:rPr>
            <w:rStyle w:val="Lienhypertexte"/>
          </w:rPr>
          <w:t>NEP 260</w:t>
        </w:r>
      </w:hyperlink>
      <w:r w:rsidR="00282E09">
        <w:t xml:space="preserve"> - Communication avec les organes mentionnés à l'article L. 823-16 (notamment § 5 et 9)</w:t>
      </w:r>
    </w:p>
    <w:p w:rsidR="00282E09" w:rsidRDefault="00282E09" w:rsidP="00282E09"/>
    <w:p w:rsidR="00282E09" w:rsidRPr="00252117" w:rsidRDefault="00282E09" w:rsidP="00282E09">
      <w:pPr>
        <w:pStyle w:val="CACTitre3"/>
        <w:rPr>
          <w:rStyle w:val="lev"/>
        </w:rPr>
      </w:pPr>
      <w:bookmarkStart w:id="33" w:name="_Toc452385965"/>
      <w:r>
        <w:rPr>
          <w:rStyle w:val="lev"/>
        </w:rPr>
        <w:t>Descriptif de l’obligation ou de la spécificité pour l’émetteur</w:t>
      </w:r>
      <w:bookmarkEnd w:id="33"/>
    </w:p>
    <w:p w:rsidR="00282E09" w:rsidRDefault="00282E09" w:rsidP="00282E09"/>
    <w:p w:rsidR="00282E09" w:rsidRDefault="00282E09" w:rsidP="00282E09">
      <w:r w:rsidRPr="00F75EDC">
        <w:t>Le comité d'audit est notamment chargé d'assurer le suivi de l'indépendance des commissaires aux comptes et émet une recommandation sur les commissaires aux comptes proposés à la désignation par l'assemblée générale ou l'organe exerçant une fonction analogue.</w:t>
      </w:r>
    </w:p>
    <w:p w:rsidR="00282E09" w:rsidRDefault="00282E09" w:rsidP="00282E09"/>
    <w:p w:rsidR="00282E09" w:rsidRPr="00252117" w:rsidRDefault="00282E09" w:rsidP="00282E09">
      <w:pPr>
        <w:pStyle w:val="CACTitre3"/>
        <w:rPr>
          <w:rStyle w:val="lev"/>
        </w:rPr>
      </w:pPr>
      <w:bookmarkStart w:id="34" w:name="_Toc452385966"/>
      <w:r>
        <w:rPr>
          <w:rStyle w:val="lev"/>
        </w:rPr>
        <w:t>Descriptif de l’obligation ou de la spécificité pour le(s) commissaire(s) aux comptes / points pour attention</w:t>
      </w:r>
      <w:bookmarkEnd w:id="34"/>
    </w:p>
    <w:p w:rsidR="00282E09" w:rsidRDefault="00282E09" w:rsidP="00282E09"/>
    <w:p w:rsidR="00282E09" w:rsidRDefault="00282E09" w:rsidP="00282E09">
      <w:r>
        <w:t>Chaque année, le commissaire aux comptes communique par écrit au comité d'audit :</w:t>
      </w:r>
    </w:p>
    <w:p w:rsidR="00282E09" w:rsidRDefault="00282E09" w:rsidP="00282E09">
      <w:pPr>
        <w:pStyle w:val="Paragraphedeliste"/>
        <w:numPr>
          <w:ilvl w:val="0"/>
          <w:numId w:val="30"/>
        </w:numPr>
        <w:spacing w:before="60" w:after="60"/>
      </w:pPr>
      <w:r>
        <w:t>une déclaration d'indépendance dans laquelle il confirme, le cas échéant, lui avoir fait part des situations susceptibles de générer un risque pour son indépendance et les mesures de sauvegarde appropriées prises en concertation avec lui pour atténuer ce risque. Il apprécie son indépendance au regard des règles déontologiques applicables en France et en particulier les articles L. 822</w:t>
      </w:r>
      <w:r>
        <w:noBreakHyphen/>
        <w:t>10 à L. 822-14 du code de commerce ainsi que le code déontologie de la profession de commissaire aux comptes ;</w:t>
      </w:r>
    </w:p>
    <w:p w:rsidR="00282E09" w:rsidRDefault="00282E09" w:rsidP="00282E09">
      <w:pPr>
        <w:pStyle w:val="Paragraphedeliste"/>
        <w:numPr>
          <w:ilvl w:val="0"/>
          <w:numId w:val="30"/>
        </w:numPr>
        <w:spacing w:before="60" w:after="60"/>
      </w:pPr>
      <w:r>
        <w:t>une actualisation des informations mentionnées à l'article L. 820-3 du code de commerce détaillant les prestations fournies par les membres du réseau auquel il est affilié ainsi que les prestations accomplies au titre des DDL.</w:t>
      </w:r>
    </w:p>
    <w:p w:rsidR="00282E09" w:rsidRDefault="00282E09" w:rsidP="00282E09">
      <w:pPr>
        <w:tabs>
          <w:tab w:val="left" w:pos="1965"/>
        </w:tabs>
      </w:pPr>
    </w:p>
    <w:p w:rsidR="00282E09" w:rsidRPr="00BA33C3" w:rsidRDefault="00282E09" w:rsidP="00282E09">
      <w:pPr>
        <w:pStyle w:val="CACTitre3"/>
        <w:rPr>
          <w:rStyle w:val="lev"/>
        </w:rPr>
      </w:pPr>
      <w:bookmarkStart w:id="35" w:name="_Toc452385967"/>
      <w:r>
        <w:rPr>
          <w:rStyle w:val="lev"/>
        </w:rPr>
        <w:t>Outils disponibles</w:t>
      </w:r>
      <w:bookmarkEnd w:id="35"/>
    </w:p>
    <w:p w:rsidR="00282E09" w:rsidRDefault="00282E09" w:rsidP="00282E09">
      <w:pPr>
        <w:tabs>
          <w:tab w:val="left" w:pos="1965"/>
        </w:tabs>
      </w:pPr>
    </w:p>
    <w:p w:rsidR="00282E09" w:rsidRDefault="00282E09" w:rsidP="00282E09">
      <w:pPr>
        <w:pStyle w:val="Paragraphedeliste"/>
        <w:numPr>
          <w:ilvl w:val="0"/>
          <w:numId w:val="31"/>
        </w:numPr>
        <w:spacing w:before="60" w:after="60"/>
      </w:pPr>
      <w:r>
        <w:t xml:space="preserve">Exemple de lettre de confirmation d'indépendance adressée au comité d'audit (Portail CNCC – </w:t>
      </w:r>
      <w:hyperlink r:id="rId21" w:history="1">
        <w:r w:rsidRPr="001813A5">
          <w:rPr>
            <w:rStyle w:val="Lienhypertexte"/>
          </w:rPr>
          <w:t>A220.X001</w:t>
        </w:r>
      </w:hyperlink>
      <w:r>
        <w:t>).</w:t>
      </w:r>
    </w:p>
    <w:p w:rsidR="00282E09" w:rsidRDefault="00282E09" w:rsidP="00282E09">
      <w:pPr>
        <w:pStyle w:val="Paragraphedeliste"/>
        <w:numPr>
          <w:ilvl w:val="0"/>
          <w:numId w:val="31"/>
        </w:numPr>
        <w:spacing w:before="60" w:after="60"/>
      </w:pPr>
      <w:r>
        <w:t>Exemple de lettre d'actualisation des informations mentionnées à l'article L. 820</w:t>
      </w:r>
      <w:r>
        <w:noBreakHyphen/>
        <w:t xml:space="preserve">3 du code de commerce (Portail CNCC - </w:t>
      </w:r>
      <w:hyperlink r:id="rId22" w:history="1">
        <w:r w:rsidRPr="001813A5">
          <w:rPr>
            <w:rStyle w:val="Lienhypertexte"/>
          </w:rPr>
          <w:t>A230.X001</w:t>
        </w:r>
      </w:hyperlink>
      <w:r>
        <w:t>).</w:t>
      </w:r>
    </w:p>
    <w:p w:rsidR="00282E09" w:rsidRDefault="00AF58A5" w:rsidP="00282E09">
      <w:pPr>
        <w:pStyle w:val="Paragraphedeliste"/>
        <w:numPr>
          <w:ilvl w:val="0"/>
          <w:numId w:val="31"/>
        </w:numPr>
        <w:spacing w:before="60" w:after="60"/>
      </w:pPr>
      <w:hyperlink r:id="rId23" w:history="1">
        <w:r w:rsidR="00282E09" w:rsidRPr="006B04BA">
          <w:rPr>
            <w:rStyle w:val="Lienhypertexte"/>
          </w:rPr>
          <w:t>Bonne Pratique Professionnelle relative à l'</w:t>
        </w:r>
        <w:proofErr w:type="spellStart"/>
        <w:r w:rsidR="00282E09" w:rsidRPr="006B04BA">
          <w:rPr>
            <w:rStyle w:val="Lienhypertexte"/>
          </w:rPr>
          <w:t>autorévision</w:t>
        </w:r>
        <w:proofErr w:type="spellEnd"/>
      </w:hyperlink>
      <w:r w:rsidR="00282E09">
        <w:t xml:space="preserve"> - Décision H3C 2011-02 du 8 novembre 2011. (Cf. section 900 du </w:t>
      </w:r>
      <w:hyperlink r:id="rId24" w:history="1">
        <w:r w:rsidR="00282E09" w:rsidRPr="001813A5">
          <w:rPr>
            <w:rStyle w:val="Lienhypertexte"/>
          </w:rPr>
          <w:t>chapitre 120</w:t>
        </w:r>
      </w:hyperlink>
      <w:r w:rsidR="00282E09">
        <w:t>)</w:t>
      </w:r>
    </w:p>
    <w:p w:rsidR="00282E09" w:rsidRDefault="00AF58A5" w:rsidP="00282E09">
      <w:pPr>
        <w:pStyle w:val="Paragraphedeliste"/>
        <w:numPr>
          <w:ilvl w:val="0"/>
          <w:numId w:val="31"/>
        </w:numPr>
        <w:spacing w:before="60" w:after="60"/>
      </w:pPr>
      <w:hyperlink r:id="rId25" w:history="1">
        <w:r w:rsidR="00282E09" w:rsidRPr="00D9479C">
          <w:rPr>
            <w:rStyle w:val="Lienhypertexte"/>
          </w:rPr>
          <w:t>AMF : Rapport final sur le comité d'audit du 22 juillet 2010 (§ 2.2.2)</w:t>
        </w:r>
      </w:hyperlink>
      <w:r w:rsidR="00282E09">
        <w:t>.</w:t>
      </w:r>
    </w:p>
    <w:p w:rsidR="00282E09" w:rsidRPr="001813A5" w:rsidRDefault="00282E09" w:rsidP="00282E09">
      <w:pPr>
        <w:rPr>
          <w:rStyle w:val="lev"/>
        </w:rPr>
      </w:pPr>
      <w:bookmarkStart w:id="36" w:name="_Toc335388806"/>
    </w:p>
    <w:p w:rsidR="00282E09" w:rsidRDefault="00282E09" w:rsidP="00282E09">
      <w:pPr>
        <w:pStyle w:val="CACTitre2"/>
      </w:pPr>
      <w:bookmarkStart w:id="37" w:name="_Toc427855166"/>
      <w:bookmarkStart w:id="38" w:name="_Toc452385968"/>
      <w:r>
        <w:lastRenderedPageBreak/>
        <w:t>RELATIONS AVEC LES ORGANES VISES A L’ARTICLE L. 823</w:t>
      </w:r>
      <w:r>
        <w:noBreakHyphen/>
        <w:t>16 DU CODE DE COMMERCE</w:t>
      </w:r>
      <w:r>
        <w:rPr>
          <w:rStyle w:val="Appelnotedebasdep"/>
        </w:rPr>
        <w:footnoteReference w:id="1"/>
      </w:r>
      <w:bookmarkEnd w:id="36"/>
      <w:bookmarkEnd w:id="37"/>
      <w:bookmarkEnd w:id="38"/>
    </w:p>
    <w:p w:rsidR="00282E09" w:rsidRDefault="00282E09" w:rsidP="00282E09">
      <w:pPr>
        <w:rPr>
          <w:rStyle w:val="lev"/>
        </w:rPr>
      </w:pPr>
    </w:p>
    <w:p w:rsidR="00282E09" w:rsidRPr="00252117" w:rsidRDefault="00282E09" w:rsidP="00282E09">
      <w:pPr>
        <w:pStyle w:val="CACTitre3"/>
        <w:rPr>
          <w:rStyle w:val="lev"/>
        </w:rPr>
      </w:pPr>
      <w:bookmarkStart w:id="39" w:name="_Toc452385969"/>
      <w:r>
        <w:rPr>
          <w:rStyle w:val="lev"/>
        </w:rPr>
        <w:t>Textes de référence</w:t>
      </w:r>
      <w:bookmarkEnd w:id="39"/>
    </w:p>
    <w:p w:rsidR="00282E09" w:rsidRPr="001813A5" w:rsidRDefault="00282E09" w:rsidP="00282E09">
      <w:pPr>
        <w:rPr>
          <w:rStyle w:val="lev"/>
        </w:rPr>
      </w:pPr>
    </w:p>
    <w:p w:rsidR="00282E09" w:rsidRDefault="00282E09" w:rsidP="00282E09">
      <w:pPr>
        <w:pStyle w:val="Paragraphedeliste"/>
        <w:numPr>
          <w:ilvl w:val="0"/>
          <w:numId w:val="23"/>
        </w:numPr>
        <w:spacing w:before="60" w:after="60"/>
      </w:pPr>
      <w:r>
        <w:t>Code du commerce : articles L. 823-16, L. 823-19 et L. 823-20.</w:t>
      </w:r>
    </w:p>
    <w:p w:rsidR="00282E09" w:rsidRDefault="00AF58A5" w:rsidP="00282E09">
      <w:pPr>
        <w:pStyle w:val="Paragraphedeliste"/>
        <w:numPr>
          <w:ilvl w:val="0"/>
          <w:numId w:val="23"/>
        </w:numPr>
        <w:spacing w:before="60" w:after="60"/>
      </w:pPr>
      <w:hyperlink r:id="rId26" w:history="1">
        <w:r w:rsidR="00282E09" w:rsidRPr="000E6EE2">
          <w:rPr>
            <w:rStyle w:val="Lienhypertexte"/>
          </w:rPr>
          <w:t>NEP 240</w:t>
        </w:r>
      </w:hyperlink>
      <w:r w:rsidR="00282E09">
        <w:t xml:space="preserve"> - Prise en considération de la possibilité de fraudes lors de l'audit des comptes.</w:t>
      </w:r>
    </w:p>
    <w:p w:rsidR="00282E09" w:rsidRDefault="00AF58A5" w:rsidP="00282E09">
      <w:pPr>
        <w:pStyle w:val="Paragraphedeliste"/>
        <w:numPr>
          <w:ilvl w:val="0"/>
          <w:numId w:val="23"/>
        </w:numPr>
        <w:spacing w:before="60" w:after="60"/>
      </w:pPr>
      <w:hyperlink r:id="rId27" w:history="1">
        <w:r w:rsidR="00282E09" w:rsidRPr="000E6EE2">
          <w:rPr>
            <w:rStyle w:val="Lienhypertexte"/>
          </w:rPr>
          <w:t>NEP 260</w:t>
        </w:r>
      </w:hyperlink>
      <w:r w:rsidR="00282E09">
        <w:t xml:space="preserve"> - Communication avec les organes mentionnés à l'article L. 823-16 du code de commerce.</w:t>
      </w:r>
    </w:p>
    <w:p w:rsidR="00282E09" w:rsidRDefault="00AF58A5" w:rsidP="00282E09">
      <w:pPr>
        <w:pStyle w:val="Paragraphedeliste"/>
        <w:numPr>
          <w:ilvl w:val="0"/>
          <w:numId w:val="23"/>
        </w:numPr>
        <w:spacing w:before="60" w:after="60"/>
      </w:pPr>
      <w:hyperlink r:id="rId28" w:history="1">
        <w:r w:rsidR="00282E09" w:rsidRPr="000E6EE2">
          <w:rPr>
            <w:rStyle w:val="Lienhypertexte"/>
          </w:rPr>
          <w:t>NEP 265</w:t>
        </w:r>
      </w:hyperlink>
      <w:r w:rsidR="00282E09">
        <w:t xml:space="preserve"> - Communication des faiblesses du contrôle interne.</w:t>
      </w:r>
    </w:p>
    <w:p w:rsidR="00282E09" w:rsidRDefault="00282E09" w:rsidP="00282E09"/>
    <w:p w:rsidR="00282E09" w:rsidRPr="00252117" w:rsidRDefault="00282E09" w:rsidP="00282E09">
      <w:pPr>
        <w:pStyle w:val="CACTitre3"/>
        <w:rPr>
          <w:rStyle w:val="lev"/>
        </w:rPr>
      </w:pPr>
      <w:bookmarkStart w:id="40" w:name="_Toc452385970"/>
      <w:r>
        <w:rPr>
          <w:rStyle w:val="lev"/>
        </w:rPr>
        <w:t>Descriptif de l’obligation ou de la spécificité pour l’émetteur</w:t>
      </w:r>
      <w:bookmarkEnd w:id="40"/>
    </w:p>
    <w:p w:rsidR="00282E09" w:rsidRDefault="00282E09" w:rsidP="00282E09"/>
    <w:p w:rsidR="00282E09" w:rsidRPr="005701D9" w:rsidRDefault="00282E09" w:rsidP="00282E09">
      <w:pPr>
        <w:pStyle w:val="CACTitre4"/>
      </w:pPr>
      <w:r w:rsidRPr="005701D9">
        <w:t>Principe général</w:t>
      </w:r>
    </w:p>
    <w:p w:rsidR="00282E09" w:rsidRDefault="00282E09" w:rsidP="00282E09"/>
    <w:p w:rsidR="00282E09" w:rsidRDefault="00282E09" w:rsidP="00282E09">
      <w:r>
        <w:t>Les dispositions de l'article L. 823-19 prévoient que les personnes et entités dont les titres sont admis à la négociation sur un marché réglementé sont tenues de constituer un comité spécialisé (communément désigné « comité d'audit » ou « comité des comptes ») agissant sous la responsabilité, selon le cas, de l'organe chargé de l'administration ou de l'organe de surveillance et assurant le suivi des questions relatives à l'élaboration et au contrôle des informations comptables et financières.</w:t>
      </w:r>
    </w:p>
    <w:p w:rsidR="00282E09" w:rsidRDefault="00282E09" w:rsidP="00282E09"/>
    <w:p w:rsidR="00282E09" w:rsidRDefault="00282E09" w:rsidP="00282E09">
      <w:r>
        <w:t xml:space="preserve">Ainsi que cela est mentionné dans le même article, « </w:t>
      </w:r>
      <w:r w:rsidRPr="005701D9">
        <w:rPr>
          <w:rStyle w:val="CitationCar"/>
        </w:rPr>
        <w:t>ce comité est notamment chargé d'assurer le suivi a) du processus d'élaboration de l'information financièr</w:t>
      </w:r>
      <w:r>
        <w:rPr>
          <w:rStyle w:val="CitationCar"/>
        </w:rPr>
        <w:t>e, b) de l'effica</w:t>
      </w:r>
      <w:r w:rsidRPr="005701D9">
        <w:rPr>
          <w:rStyle w:val="CitationCar"/>
        </w:rPr>
        <w:t>cité des systèmes de contrôle interne et de gestion des risques, c) du contrôle légal des comptes annuels et, le cas échéant, des comptes consolidés par les commissaires aux comptes, d) de l'indépendance des commissaires aux comptes</w:t>
      </w:r>
      <w:r>
        <w:t xml:space="preserve"> ».</w:t>
      </w:r>
    </w:p>
    <w:p w:rsidR="00282E09" w:rsidRDefault="00282E09" w:rsidP="00282E09"/>
    <w:p w:rsidR="00282E09" w:rsidRDefault="00282E09" w:rsidP="00282E09">
      <w:r>
        <w:t>Sont exemptées de la constitution d'un tel comité (article L. 823-20) :</w:t>
      </w:r>
    </w:p>
    <w:p w:rsidR="00282E09" w:rsidRDefault="00282E09" w:rsidP="00282E09">
      <w:pPr>
        <w:pStyle w:val="Paragraphedeliste"/>
        <w:numPr>
          <w:ilvl w:val="0"/>
          <w:numId w:val="32"/>
        </w:numPr>
        <w:spacing w:before="60" w:after="60"/>
      </w:pPr>
      <w:r>
        <w:t>les personnes et entités contrôlées au sens de l'article L. 233-16 du code de commerce (contrôle au sens de la consolidation), lorsque la personne ou l'entité qui les contrôle est elle-même soumise aux dispositions de l'article L. 823-19,</w:t>
      </w:r>
    </w:p>
    <w:p w:rsidR="00282E09" w:rsidRDefault="00282E09" w:rsidP="00282E09">
      <w:pPr>
        <w:pStyle w:val="Paragraphedeliste"/>
        <w:numPr>
          <w:ilvl w:val="0"/>
          <w:numId w:val="32"/>
        </w:numPr>
        <w:spacing w:before="60" w:after="60"/>
      </w:pPr>
      <w:r>
        <w:t>les personnes et entités disposant d'un organe remplissant les fonctions du comité spécialisé précité, sous réserve d'identifier cet organe, qui peut être l'organe chargé de l'administration ou l'organe de surveillance, et de rendre publique sa composition.</w:t>
      </w:r>
    </w:p>
    <w:p w:rsidR="00282E09" w:rsidRDefault="00282E09" w:rsidP="00282E09"/>
    <w:p w:rsidR="00282E09" w:rsidRPr="005701D9" w:rsidRDefault="00282E09" w:rsidP="00282E09">
      <w:pPr>
        <w:pStyle w:val="CACTitre4"/>
      </w:pPr>
      <w:r>
        <w:t>Préconisations du rapport AMF</w:t>
      </w:r>
    </w:p>
    <w:p w:rsidR="00282E09" w:rsidRDefault="00282E09" w:rsidP="00282E09"/>
    <w:p w:rsidR="00282E09" w:rsidRDefault="00AF58A5" w:rsidP="00282E09">
      <w:hyperlink r:id="rId29" w:history="1">
        <w:r w:rsidR="00282E09" w:rsidRPr="00D9479C">
          <w:rPr>
            <w:rStyle w:val="Lienhypertexte"/>
          </w:rPr>
          <w:t>Le rapport final sur le comité d'audit, publié par l'AMF le 22 juillet 2010</w:t>
        </w:r>
      </w:hyperlink>
      <w:r w:rsidR="00282E09" w:rsidRPr="005701D9">
        <w:t>, établi sous l'égide du groupe de place constitué pour l'occasion, décrit la mission de ce</w:t>
      </w:r>
      <w:r w:rsidR="00282E09">
        <w:t xml:space="preserve"> comité (prin</w:t>
      </w:r>
      <w:r w:rsidR="00282E09" w:rsidRPr="005701D9">
        <w:t xml:space="preserve">cipales missions et modalités de mise en </w:t>
      </w:r>
      <w:r w:rsidR="00282E09">
        <w:t>œuvre</w:t>
      </w:r>
      <w:r w:rsidR="00282E09" w:rsidRPr="005701D9">
        <w:t>), les p</w:t>
      </w:r>
      <w:r w:rsidR="00282E09">
        <w:t>rincipes structurant sa composi</w:t>
      </w:r>
      <w:r w:rsidR="00282E09" w:rsidRPr="005701D9">
        <w:t>tion, son régime de responsabilité, etc.</w:t>
      </w:r>
    </w:p>
    <w:p w:rsidR="00282E09" w:rsidRDefault="00282E09" w:rsidP="00282E09"/>
    <w:p w:rsidR="00282E09" w:rsidRPr="00252117" w:rsidRDefault="00282E09" w:rsidP="00282E09">
      <w:pPr>
        <w:pStyle w:val="CACTitre3"/>
        <w:rPr>
          <w:rStyle w:val="lev"/>
        </w:rPr>
      </w:pPr>
      <w:bookmarkStart w:id="41" w:name="_Toc452385971"/>
      <w:r>
        <w:rPr>
          <w:rStyle w:val="lev"/>
        </w:rPr>
        <w:t>Descriptif de l’obligation ou de la spécificité pour le(s) commissaire(s) aux comptes / points pour attention</w:t>
      </w:r>
      <w:bookmarkEnd w:id="41"/>
    </w:p>
    <w:p w:rsidR="00282E09" w:rsidRDefault="00282E09" w:rsidP="00282E09">
      <w:pPr>
        <w:rPr>
          <w:u w:val="single"/>
        </w:rPr>
      </w:pPr>
    </w:p>
    <w:p w:rsidR="00282E09" w:rsidRPr="005701D9" w:rsidRDefault="00282E09" w:rsidP="00282E09">
      <w:pPr>
        <w:pStyle w:val="CACTitre4"/>
      </w:pPr>
      <w:r w:rsidRPr="005701D9">
        <w:lastRenderedPageBreak/>
        <w:t>Présentation de l'obligation</w:t>
      </w:r>
    </w:p>
    <w:p w:rsidR="00282E09" w:rsidRDefault="00282E09" w:rsidP="00282E09"/>
    <w:p w:rsidR="00282E09" w:rsidRDefault="00282E09" w:rsidP="00282E09">
      <w:r>
        <w:t>De manière générale, les communications avec les organes mentionnés à l'article L. 823-16 permettent aux commissaires aux comptes de porter à leur connaissance les éléments importants relatifs à leur mission et à l'élaboration des comptes. Elles leur permettent également de s'entretenir avec ces organes en vue de recueillir des informations qui concourent à leur connaissance de l'entité et de son environnement.</w:t>
      </w:r>
    </w:p>
    <w:p w:rsidR="00282E09" w:rsidRDefault="00282E09" w:rsidP="00282E09"/>
    <w:p w:rsidR="00282E09" w:rsidRDefault="00282E09" w:rsidP="00282E09">
      <w:r>
        <w:t>Lors des missions réalisées au sein d'entités dont les titres sont inscrits sur un marché réglementé, cette exigence de communication conduit les commissaires aux comptes à échanger avec le comité d'audit.</w:t>
      </w:r>
    </w:p>
    <w:p w:rsidR="00282E09" w:rsidRDefault="00282E09" w:rsidP="00282E09"/>
    <w:p w:rsidR="00282E09" w:rsidRDefault="00282E09" w:rsidP="00282E09">
      <w:r>
        <w:t xml:space="preserve">Dans le cadre de leurs obligations générales de communication aux organes visés à l'article L. 823-16 et en application de la </w:t>
      </w:r>
      <w:hyperlink r:id="rId30" w:history="1">
        <w:r w:rsidRPr="000E6EE2">
          <w:rPr>
            <w:rStyle w:val="Lienhypertexte"/>
          </w:rPr>
          <w:t>NEP 260</w:t>
        </w:r>
      </w:hyperlink>
      <w:r>
        <w:t>, les commissaires aux comptes doivent notamment porter à la connaissance du comité d'audit le programme général de travail mis en œuvre, ainsi que les différents sondages auxquels ils ont procédé.</w:t>
      </w:r>
    </w:p>
    <w:p w:rsidR="00282E09" w:rsidRDefault="00282E09" w:rsidP="00282E09"/>
    <w:p w:rsidR="00282E09" w:rsidRDefault="00282E09" w:rsidP="00282E09">
      <w:r>
        <w:t xml:space="preserve">Décrite dans la </w:t>
      </w:r>
      <w:hyperlink r:id="rId31" w:history="1">
        <w:r w:rsidRPr="000E6EE2">
          <w:rPr>
            <w:rStyle w:val="Lienhypertexte"/>
          </w:rPr>
          <w:t>NEP 260</w:t>
        </w:r>
      </w:hyperlink>
      <w:r>
        <w:t>, cette communication, effectuée auprès des organes mentionnés à l'article L. 823-16 et auprès du comité d'audit dans le cas d'entités dont les titres sont admis aux négociations sur un marché réglementé, porte plus particulièrement sur les éléments suivants :</w:t>
      </w:r>
    </w:p>
    <w:p w:rsidR="00282E09" w:rsidRDefault="00282E09" w:rsidP="00282E09">
      <w:pPr>
        <w:pStyle w:val="Paragraphedeliste"/>
        <w:numPr>
          <w:ilvl w:val="0"/>
          <w:numId w:val="33"/>
        </w:numPr>
        <w:spacing w:before="60" w:after="60"/>
      </w:pPr>
      <w:r>
        <w:t>au début de la mission, l'étendue des travaux d'audit et le calendrier prévus,</w:t>
      </w:r>
    </w:p>
    <w:p w:rsidR="00282E09" w:rsidRDefault="00282E09" w:rsidP="00282E09">
      <w:pPr>
        <w:pStyle w:val="Paragraphedeliste"/>
        <w:numPr>
          <w:ilvl w:val="0"/>
          <w:numId w:val="33"/>
        </w:numPr>
        <w:spacing w:before="60" w:after="60"/>
      </w:pPr>
      <w:r>
        <w:t>en cours de mission :</w:t>
      </w:r>
    </w:p>
    <w:p w:rsidR="00282E09" w:rsidRDefault="00282E09" w:rsidP="00282E09">
      <w:pPr>
        <w:pStyle w:val="Paragraphedeliste"/>
        <w:numPr>
          <w:ilvl w:val="1"/>
          <w:numId w:val="33"/>
        </w:numPr>
        <w:spacing w:before="60" w:after="60"/>
      </w:pPr>
      <w:r>
        <w:t>les difficultés importantes rencontrées lors de l'audit des comptes susceptibles d'affecter le bon déroulement de ses travaux ;</w:t>
      </w:r>
    </w:p>
    <w:p w:rsidR="00282E09" w:rsidRDefault="00282E09" w:rsidP="00282E09">
      <w:pPr>
        <w:pStyle w:val="Paragraphedeliste"/>
        <w:numPr>
          <w:ilvl w:val="1"/>
          <w:numId w:val="33"/>
        </w:numPr>
        <w:spacing w:before="60" w:after="60"/>
      </w:pPr>
      <w:r>
        <w:t>les commentaires éventuels sur les pratiques comptables susceptibles d'avoir une incidence sur les comptes ;</w:t>
      </w:r>
    </w:p>
    <w:p w:rsidR="00282E09" w:rsidRDefault="00282E09" w:rsidP="00282E09">
      <w:pPr>
        <w:pStyle w:val="Paragraphedeliste"/>
        <w:numPr>
          <w:ilvl w:val="1"/>
          <w:numId w:val="33"/>
        </w:numPr>
        <w:spacing w:before="60" w:after="60"/>
      </w:pPr>
      <w:r>
        <w:t xml:space="preserve">les autres éléments apparus au cours de l'audit qui, selon son jugement professionnel, sont importants pour ces organes dans le cadre de leur fonction, notamment de surveillance du processus d'élaboration des comptes. Il en est notamment ainsi des faiblesses significatives du contrôle interne que les commissaires aux comptes communiquent en faisant application de la </w:t>
      </w:r>
      <w:hyperlink r:id="rId32" w:history="1">
        <w:r w:rsidRPr="00170274">
          <w:rPr>
            <w:rStyle w:val="Lienhypertexte"/>
          </w:rPr>
          <w:t>norme d'exercice professionnel relative à la communication des faiblesses du contrôle interne</w:t>
        </w:r>
      </w:hyperlink>
      <w:r>
        <w:t>.</w:t>
      </w:r>
    </w:p>
    <w:p w:rsidR="00282E09" w:rsidRDefault="00282E09" w:rsidP="00282E09"/>
    <w:p w:rsidR="00282E09" w:rsidRDefault="00282E09" w:rsidP="00282E09">
      <w:r>
        <w:t>Les commissaires aux comptes communiquent également au comité spécialisé :</w:t>
      </w:r>
    </w:p>
    <w:p w:rsidR="00282E09" w:rsidRDefault="00282E09" w:rsidP="00282E09">
      <w:pPr>
        <w:pStyle w:val="Paragraphedeliste"/>
        <w:numPr>
          <w:ilvl w:val="0"/>
          <w:numId w:val="34"/>
        </w:numPr>
        <w:spacing w:before="60" w:after="60"/>
      </w:pPr>
      <w:r>
        <w:t>les modifications qui leur paraissent devoir être apportées aux comptes devant être arrêtés ou aux autres documents comptables, en faisant toutes observations utiles sur les méthodes d'évaluation utilisées pour leur établissement ;</w:t>
      </w:r>
    </w:p>
    <w:p w:rsidR="00282E09" w:rsidRDefault="00282E09" w:rsidP="00282E09">
      <w:pPr>
        <w:pStyle w:val="Paragraphedeliste"/>
        <w:numPr>
          <w:ilvl w:val="0"/>
          <w:numId w:val="34"/>
        </w:numPr>
        <w:spacing w:before="60" w:after="60"/>
      </w:pPr>
      <w:r>
        <w:t>les irrégularités et les inexactitudes qu'ils auraient découvertes ;</w:t>
      </w:r>
    </w:p>
    <w:p w:rsidR="00282E09" w:rsidRDefault="00282E09" w:rsidP="00282E09">
      <w:pPr>
        <w:pStyle w:val="Paragraphedeliste"/>
        <w:numPr>
          <w:ilvl w:val="0"/>
          <w:numId w:val="34"/>
        </w:numPr>
        <w:spacing w:before="60" w:after="60"/>
      </w:pPr>
      <w:r>
        <w:t>les conclusions auxquelles conduisent les observations et rectifications ci-dessus sur les résultats de la période comparés à ceux de la période précédente.</w:t>
      </w:r>
    </w:p>
    <w:p w:rsidR="00282E09" w:rsidRDefault="00282E09" w:rsidP="00282E09"/>
    <w:p w:rsidR="00282E09" w:rsidRDefault="00282E09" w:rsidP="00282E09">
      <w:pPr>
        <w:pStyle w:val="CACTitre4"/>
      </w:pPr>
      <w:r w:rsidRPr="005701D9">
        <w:t>Relations spécifiqu</w:t>
      </w:r>
      <w:r>
        <w:t>es avec le comité d'audit 2.1</w:t>
      </w:r>
    </w:p>
    <w:p w:rsidR="00282E09" w:rsidRDefault="00282E09" w:rsidP="00282E09"/>
    <w:p w:rsidR="00282E09" w:rsidRPr="005701D9" w:rsidRDefault="00282E09" w:rsidP="00282E09">
      <w:pPr>
        <w:pStyle w:val="Paragraphedeliste"/>
        <w:numPr>
          <w:ilvl w:val="1"/>
          <w:numId w:val="35"/>
        </w:numPr>
        <w:spacing w:before="60" w:after="60"/>
      </w:pPr>
      <w:r w:rsidRPr="005701D9">
        <w:t>Cas général</w:t>
      </w:r>
    </w:p>
    <w:p w:rsidR="00282E09" w:rsidRDefault="00282E09" w:rsidP="00282E09">
      <w:pPr>
        <w:ind w:left="1418"/>
      </w:pPr>
      <w:r>
        <w:t>Dès lors qu'une entité est dotée d'un comité d'audit (qu'elle soit soumise aux dispositions requérant la constitution d'un tel comité ou qu'elle s'en dote volontairement), les commissaires aux comptes doivent, en complément des informations précitées :</w:t>
      </w:r>
    </w:p>
    <w:p w:rsidR="00282E09" w:rsidRDefault="00282E09" w:rsidP="00282E09">
      <w:pPr>
        <w:pStyle w:val="Paragraphedeliste"/>
        <w:numPr>
          <w:ilvl w:val="0"/>
          <w:numId w:val="36"/>
        </w:numPr>
        <w:spacing w:before="60" w:after="60"/>
        <w:ind w:left="2138"/>
      </w:pPr>
      <w:r>
        <w:lastRenderedPageBreak/>
        <w:t>examiner avec ce comité les risques pesant sur leur indépendance et les mesures de sauvegarde prises pour atténuer ces risques (</w:t>
      </w:r>
      <w:r w:rsidRPr="00C41466">
        <w:t>cf. paragraphe 3.2.1</w:t>
      </w:r>
      <w:r>
        <w:rPr>
          <w:rStyle w:val="Lienhypertexte"/>
        </w:rPr>
        <w:t xml:space="preserve"> </w:t>
      </w:r>
      <w:r>
        <w:t>- Indépendance et relations avec le comité spécialisé (comité d'audit)) ;</w:t>
      </w:r>
    </w:p>
    <w:p w:rsidR="00282E09" w:rsidRDefault="00282E09" w:rsidP="00282E09">
      <w:pPr>
        <w:pStyle w:val="Paragraphedeliste"/>
        <w:numPr>
          <w:ilvl w:val="0"/>
          <w:numId w:val="36"/>
        </w:numPr>
        <w:spacing w:before="60" w:after="60"/>
        <w:ind w:left="2138"/>
      </w:pPr>
      <w:r>
        <w:t>porter à sa connaissance les faiblesses significatives du contrôle interne, en faisant application de la norme d'exercice professionnel relative à la communication des faiblesses du contrôle interne (</w:t>
      </w:r>
      <w:hyperlink r:id="rId33" w:history="1">
        <w:r w:rsidRPr="000E6EE2">
          <w:rPr>
            <w:rStyle w:val="Lienhypertexte"/>
          </w:rPr>
          <w:t>NEP 265</w:t>
        </w:r>
      </w:hyperlink>
      <w:r>
        <w:t>).</w:t>
      </w:r>
    </w:p>
    <w:p w:rsidR="00282E09" w:rsidRDefault="00282E09" w:rsidP="00282E09">
      <w:pPr>
        <w:ind w:left="1418"/>
      </w:pPr>
      <w:r>
        <w:t>En tout état de cause, lorsque les commissaires aux comptes communiquent des informations au comité spécialisé, ils déterminent s'ils les communiquent également aux autres organes mentionnés à l'article L. 823-16.</w:t>
      </w:r>
    </w:p>
    <w:p w:rsidR="00282E09" w:rsidRDefault="00282E09" w:rsidP="00282E09">
      <w:pPr>
        <w:ind w:left="1418"/>
      </w:pPr>
    </w:p>
    <w:p w:rsidR="00282E09" w:rsidRDefault="00282E09" w:rsidP="00282E09">
      <w:pPr>
        <w:pStyle w:val="Paragraphedeliste"/>
        <w:numPr>
          <w:ilvl w:val="1"/>
          <w:numId w:val="35"/>
        </w:numPr>
        <w:spacing w:before="60" w:after="60"/>
      </w:pPr>
      <w:r>
        <w:t>Application aux groupes de sociétés</w:t>
      </w:r>
    </w:p>
    <w:p w:rsidR="00282E09" w:rsidRDefault="00282E09" w:rsidP="00282E09">
      <w:pPr>
        <w:ind w:left="1418"/>
      </w:pPr>
      <w:r>
        <w:t xml:space="preserve">Dans le cas d'exemption prévu à l'article L. 823-20 alinéa 1 (cas d'entités contrôlées au sens de l'article L. 233-16), les commissaires aux comptes de la filiale exonérée de constitution d'un comité d'audit ne se voient pas pour autant déliés de leur secret professionnel au regard du comité d'audit de la société tête de groupe. En revanche, ils le sont au regard des commissaires aux comptes de la </w:t>
      </w:r>
      <w:proofErr w:type="spellStart"/>
      <w:r>
        <w:t>consolidante</w:t>
      </w:r>
      <w:proofErr w:type="spellEnd"/>
      <w:r>
        <w:t xml:space="preserve"> qui sont les seuls interlocuteurs dudit comité d'audit.</w:t>
      </w:r>
    </w:p>
    <w:p w:rsidR="00282E09" w:rsidRDefault="00282E09" w:rsidP="00282E09">
      <w:pPr>
        <w:tabs>
          <w:tab w:val="left" w:pos="1965"/>
        </w:tabs>
      </w:pPr>
    </w:p>
    <w:p w:rsidR="00282E09" w:rsidRPr="00BA33C3" w:rsidRDefault="00282E09" w:rsidP="00282E09">
      <w:pPr>
        <w:pStyle w:val="CACTitre3"/>
        <w:rPr>
          <w:rStyle w:val="lev"/>
        </w:rPr>
      </w:pPr>
      <w:bookmarkStart w:id="42" w:name="_Toc452385972"/>
      <w:r>
        <w:rPr>
          <w:rStyle w:val="lev"/>
        </w:rPr>
        <w:t>Outils disponibles</w:t>
      </w:r>
      <w:bookmarkEnd w:id="42"/>
    </w:p>
    <w:p w:rsidR="00282E09" w:rsidRDefault="00282E09" w:rsidP="00282E09">
      <w:pPr>
        <w:tabs>
          <w:tab w:val="left" w:pos="1965"/>
        </w:tabs>
      </w:pPr>
    </w:p>
    <w:p w:rsidR="00282E09" w:rsidRDefault="00AF58A5" w:rsidP="00282E09">
      <w:pPr>
        <w:pStyle w:val="Paragraphedeliste"/>
        <w:numPr>
          <w:ilvl w:val="0"/>
          <w:numId w:val="37"/>
        </w:numPr>
        <w:spacing w:before="60" w:after="60"/>
      </w:pPr>
      <w:hyperlink r:id="rId34" w:history="1">
        <w:r w:rsidR="00282E09" w:rsidRPr="00D006F4">
          <w:rPr>
            <w:rStyle w:val="Lienhypertexte"/>
          </w:rPr>
          <w:t>NI XI : Le commissaire aux comptes et l'audit des comptes consolidés (décembre 2011)</w:t>
        </w:r>
      </w:hyperlink>
      <w:r w:rsidR="00282E09">
        <w:t>. (Cf. chapitres 2210 à 2270)</w:t>
      </w:r>
    </w:p>
    <w:p w:rsidR="00282E09" w:rsidRDefault="00AF58A5" w:rsidP="00282E09">
      <w:pPr>
        <w:pStyle w:val="Paragraphedeliste"/>
        <w:numPr>
          <w:ilvl w:val="0"/>
          <w:numId w:val="37"/>
        </w:numPr>
        <w:spacing w:before="60" w:after="60"/>
      </w:pPr>
      <w:hyperlink r:id="rId35" w:history="1">
        <w:r w:rsidR="00282E09" w:rsidRPr="00D006F4">
          <w:rPr>
            <w:rStyle w:val="Lienhypertexte"/>
          </w:rPr>
          <w:t>AMF : Rapport final sur le comité d'audit du 22 juillet 2010</w:t>
        </w:r>
      </w:hyperlink>
      <w:r w:rsidR="00282E09">
        <w:t>.</w:t>
      </w:r>
    </w:p>
    <w:p w:rsidR="00282E09" w:rsidRDefault="00282E09" w:rsidP="00282E09">
      <w:pPr>
        <w:tabs>
          <w:tab w:val="left" w:pos="1965"/>
        </w:tabs>
      </w:pPr>
      <w:bookmarkStart w:id="43" w:name="_Toc335388807"/>
    </w:p>
    <w:p w:rsidR="00282E09" w:rsidRDefault="00282E09" w:rsidP="00282E09">
      <w:pPr>
        <w:pStyle w:val="CACTitre2"/>
      </w:pPr>
      <w:bookmarkStart w:id="44" w:name="_Toc427855167"/>
      <w:bookmarkStart w:id="45" w:name="_Toc452385973"/>
      <w:r>
        <w:t>RELATIONS AVEC LES ACTIONNAIRES</w:t>
      </w:r>
      <w:bookmarkEnd w:id="43"/>
      <w:bookmarkEnd w:id="44"/>
      <w:bookmarkEnd w:id="45"/>
    </w:p>
    <w:p w:rsidR="00282E09" w:rsidRDefault="00282E09" w:rsidP="00282E09">
      <w:pPr>
        <w:rPr>
          <w:rStyle w:val="lev"/>
        </w:rPr>
      </w:pPr>
    </w:p>
    <w:p w:rsidR="00282E09" w:rsidRPr="00252117" w:rsidRDefault="00282E09" w:rsidP="00282E09">
      <w:pPr>
        <w:pStyle w:val="CACTitre3"/>
        <w:rPr>
          <w:rStyle w:val="lev"/>
        </w:rPr>
      </w:pPr>
      <w:bookmarkStart w:id="46" w:name="_Toc452385974"/>
      <w:r>
        <w:rPr>
          <w:rStyle w:val="lev"/>
        </w:rPr>
        <w:t>Textes de référence</w:t>
      </w:r>
      <w:bookmarkEnd w:id="46"/>
    </w:p>
    <w:p w:rsidR="00282E09" w:rsidRDefault="00282E09" w:rsidP="00282E09">
      <w:pPr>
        <w:tabs>
          <w:tab w:val="left" w:pos="1965"/>
        </w:tabs>
      </w:pPr>
    </w:p>
    <w:p w:rsidR="00282E09" w:rsidRPr="00312830" w:rsidRDefault="00282E09" w:rsidP="00282E09">
      <w:pPr>
        <w:pStyle w:val="Paragraphedeliste"/>
        <w:numPr>
          <w:ilvl w:val="0"/>
          <w:numId w:val="23"/>
        </w:numPr>
        <w:spacing w:before="60" w:after="60"/>
      </w:pPr>
      <w:r w:rsidRPr="00312830">
        <w:t>Code de commerce : articles L. 823-12 et L. 822-15.</w:t>
      </w:r>
    </w:p>
    <w:p w:rsidR="00282E09" w:rsidRDefault="00282E09" w:rsidP="00282E09"/>
    <w:p w:rsidR="00282E09" w:rsidRPr="00252117" w:rsidRDefault="00282E09" w:rsidP="00282E09">
      <w:pPr>
        <w:pStyle w:val="CACTitre3"/>
        <w:rPr>
          <w:rStyle w:val="lev"/>
        </w:rPr>
      </w:pPr>
      <w:bookmarkStart w:id="47" w:name="_Toc452385975"/>
      <w:r>
        <w:rPr>
          <w:rStyle w:val="lev"/>
        </w:rPr>
        <w:t>Descriptif de l’obligation ou de la spécificité pour l’émetteur</w:t>
      </w:r>
      <w:bookmarkEnd w:id="47"/>
    </w:p>
    <w:p w:rsidR="00282E09" w:rsidRDefault="00282E09" w:rsidP="00282E09"/>
    <w:p w:rsidR="00282E09" w:rsidRDefault="00282E09" w:rsidP="00282E09">
      <w:r>
        <w:t>Non applicable</w:t>
      </w:r>
    </w:p>
    <w:p w:rsidR="00282E09" w:rsidRDefault="00282E09" w:rsidP="00282E09"/>
    <w:p w:rsidR="00282E09" w:rsidRPr="00252117" w:rsidRDefault="00282E09" w:rsidP="00282E09">
      <w:pPr>
        <w:pStyle w:val="CACTitre3"/>
        <w:rPr>
          <w:rStyle w:val="lev"/>
        </w:rPr>
      </w:pPr>
      <w:bookmarkStart w:id="48" w:name="_Toc452385976"/>
      <w:r>
        <w:rPr>
          <w:rStyle w:val="lev"/>
        </w:rPr>
        <w:t>Descriptif de l’obligation ou de la spécificité pour le(s) commissaire(s) aux comptes / points pour attention</w:t>
      </w:r>
      <w:bookmarkEnd w:id="48"/>
    </w:p>
    <w:p w:rsidR="00282E09" w:rsidRDefault="00282E09" w:rsidP="00282E09"/>
    <w:p w:rsidR="00282E09" w:rsidRDefault="00282E09" w:rsidP="00282E09">
      <w:r>
        <w:t>L'obligation au respect du secret professionnel des commissaires aux comptes prévue à l'article L. 822-15 s'applique de manière similaire pour des missions conduites sur les comptes d'entités dont les titres sont admis ou non aux négociations sur un marché réglementé, à savoir :</w:t>
      </w:r>
    </w:p>
    <w:p w:rsidR="00282E09" w:rsidRDefault="00282E09" w:rsidP="00282E09">
      <w:pPr>
        <w:pStyle w:val="Paragraphedeliste"/>
        <w:numPr>
          <w:ilvl w:val="0"/>
          <w:numId w:val="23"/>
        </w:numPr>
        <w:spacing w:before="60" w:after="60"/>
      </w:pPr>
      <w:r>
        <w:t>Relations avec les actionnaires lors des assemblées générales</w:t>
      </w:r>
    </w:p>
    <w:p w:rsidR="00282E09" w:rsidRDefault="00282E09" w:rsidP="00282E09">
      <w:pPr>
        <w:ind w:left="709"/>
      </w:pPr>
      <w:r>
        <w:t>Il revient aux commissaires aux comptes de présenter leurs rapports lors des assemblées d'actionnaires (ordinaires ou extraordinaires). Si le président leur en fait la demande, ils peuvent, à cette occasion, intervenir pour compléter la réponse effectuée par ce dernier dès lors que les éléments concernés s'inscrivent dans leur champ d'intervention (information financière, etc.).</w:t>
      </w:r>
    </w:p>
    <w:p w:rsidR="00282E09" w:rsidRDefault="00282E09" w:rsidP="00282E09">
      <w:pPr>
        <w:ind w:left="709"/>
      </w:pPr>
      <w:r>
        <w:lastRenderedPageBreak/>
        <w:t>Par ailleurs, en application des dispositions de l'article L. 823-12, les commissaires aux comptes signalent à la plus prochaine assemblée générale les irrégularités et inexactitudes relevées par eux au cours de l'accomplissement de leur mission.</w:t>
      </w:r>
    </w:p>
    <w:p w:rsidR="00282E09" w:rsidRDefault="00282E09" w:rsidP="00282E09">
      <w:pPr>
        <w:pStyle w:val="Paragraphedeliste"/>
        <w:numPr>
          <w:ilvl w:val="0"/>
          <w:numId w:val="23"/>
        </w:numPr>
        <w:spacing w:before="60" w:after="60"/>
      </w:pPr>
      <w:r>
        <w:t>Relations avec les actionnaires en dehors des assemblées générales</w:t>
      </w:r>
    </w:p>
    <w:p w:rsidR="00282E09" w:rsidRDefault="00282E09" w:rsidP="00282E09">
      <w:pPr>
        <w:ind w:left="709"/>
      </w:pPr>
      <w:r>
        <w:t>La multiplicité de l'actionnariat rend plus nombreux les risques d'une sollicitation directe des commissaires aux comptes par un actionnaire. Or, ainsi que cela ressort de la position constante de la CNCC, un actionnaire, pris isolément, ne peut avoir aucun rapport juridique direct avec les commissaires aux comptes (oral ou écrit).</w:t>
      </w:r>
    </w:p>
    <w:p w:rsidR="00282E09" w:rsidRPr="001813A5" w:rsidRDefault="00282E09" w:rsidP="00282E09">
      <w:pPr>
        <w:rPr>
          <w:rStyle w:val="lev"/>
        </w:rPr>
      </w:pPr>
      <w:bookmarkStart w:id="49" w:name="_Toc335388808"/>
    </w:p>
    <w:p w:rsidR="00282E09" w:rsidRDefault="00282E09" w:rsidP="00282E09">
      <w:pPr>
        <w:pStyle w:val="CACTitre1"/>
        <w:numPr>
          <w:ilvl w:val="0"/>
          <w:numId w:val="5"/>
        </w:numPr>
      </w:pPr>
      <w:bookmarkStart w:id="50" w:name="_Toc427855168"/>
      <w:bookmarkStart w:id="51" w:name="_Toc452385977"/>
      <w:r>
        <w:t>AUTRES POINTS DE VIGILANCE</w:t>
      </w:r>
      <w:bookmarkEnd w:id="49"/>
      <w:bookmarkEnd w:id="50"/>
      <w:bookmarkEnd w:id="51"/>
    </w:p>
    <w:p w:rsidR="00282E09" w:rsidRPr="001813A5" w:rsidRDefault="00282E09" w:rsidP="00282E09">
      <w:pPr>
        <w:rPr>
          <w:rStyle w:val="lev"/>
        </w:rPr>
      </w:pPr>
      <w:bookmarkStart w:id="52" w:name="_3.3.1._DATE_DE"/>
      <w:bookmarkStart w:id="53" w:name="_Toc335388809"/>
      <w:bookmarkEnd w:id="52"/>
    </w:p>
    <w:p w:rsidR="00282E09" w:rsidRDefault="00282E09" w:rsidP="00282E09">
      <w:pPr>
        <w:pStyle w:val="CACTitre2"/>
      </w:pPr>
      <w:bookmarkStart w:id="54" w:name="_Toc427855169"/>
      <w:bookmarkStart w:id="55" w:name="_Toc452385978"/>
      <w:r>
        <w:t>DATE DE MISE A DISPOSITION ET DE PUBLICATION DES RAPPORTS DES COMMISSAIRES AUX COMPTES</w:t>
      </w:r>
      <w:bookmarkEnd w:id="53"/>
      <w:bookmarkEnd w:id="54"/>
      <w:bookmarkEnd w:id="55"/>
    </w:p>
    <w:p w:rsidR="00282E09" w:rsidRDefault="00282E09" w:rsidP="00282E09">
      <w:pPr>
        <w:rPr>
          <w:rStyle w:val="lev"/>
        </w:rPr>
      </w:pPr>
    </w:p>
    <w:p w:rsidR="00282E09" w:rsidRPr="00252117" w:rsidRDefault="00282E09" w:rsidP="00282E09">
      <w:pPr>
        <w:pStyle w:val="CACTitre3"/>
        <w:rPr>
          <w:rStyle w:val="lev"/>
        </w:rPr>
      </w:pPr>
      <w:bookmarkStart w:id="56" w:name="_Toc452385979"/>
      <w:r>
        <w:rPr>
          <w:rStyle w:val="lev"/>
        </w:rPr>
        <w:t>Textes de référence</w:t>
      </w:r>
      <w:bookmarkEnd w:id="56"/>
    </w:p>
    <w:p w:rsidR="00282E09" w:rsidRPr="001813A5" w:rsidRDefault="00282E09" w:rsidP="00282E09">
      <w:pPr>
        <w:rPr>
          <w:rStyle w:val="lev"/>
        </w:rPr>
      </w:pPr>
    </w:p>
    <w:p w:rsidR="00282E09" w:rsidRPr="00312830" w:rsidRDefault="00282E09" w:rsidP="00282E09">
      <w:pPr>
        <w:pStyle w:val="CACTitre4"/>
      </w:pPr>
      <w:r w:rsidRPr="00312830">
        <w:t>Rapp</w:t>
      </w:r>
      <w:r>
        <w:t>ort sur les comptes semestriels</w:t>
      </w:r>
    </w:p>
    <w:p w:rsidR="00282E09" w:rsidRPr="00DB7459" w:rsidRDefault="00282E09" w:rsidP="00282E09">
      <w:pPr>
        <w:rPr>
          <w:rStyle w:val="lev"/>
        </w:rPr>
      </w:pPr>
    </w:p>
    <w:p w:rsidR="00282E09" w:rsidRDefault="00282E09" w:rsidP="00282E09">
      <w:pPr>
        <w:pStyle w:val="Paragraphedeliste"/>
        <w:numPr>
          <w:ilvl w:val="0"/>
          <w:numId w:val="23"/>
        </w:numPr>
        <w:spacing w:before="60" w:after="60"/>
      </w:pPr>
      <w:r>
        <w:t>Code monétaire et financier : article L. 451-1-2 III.</w:t>
      </w:r>
    </w:p>
    <w:p w:rsidR="00282E09" w:rsidRDefault="00282E09" w:rsidP="00282E09">
      <w:pPr>
        <w:pStyle w:val="Paragraphedeliste"/>
        <w:numPr>
          <w:ilvl w:val="0"/>
          <w:numId w:val="23"/>
        </w:numPr>
        <w:spacing w:before="60" w:after="60"/>
      </w:pPr>
      <w:r>
        <w:t>Règlement général de l'AMF : articles 222-4 à 222-6.</w:t>
      </w:r>
    </w:p>
    <w:p w:rsidR="00282E09" w:rsidRDefault="00AF58A5" w:rsidP="00282E09">
      <w:pPr>
        <w:pStyle w:val="Paragraphedeliste"/>
        <w:numPr>
          <w:ilvl w:val="0"/>
          <w:numId w:val="23"/>
        </w:numPr>
        <w:spacing w:before="60" w:after="60"/>
      </w:pPr>
      <w:hyperlink r:id="rId36" w:history="1">
        <w:r w:rsidR="00282E09" w:rsidRPr="000E6EE2">
          <w:rPr>
            <w:rStyle w:val="Lienhypertexte"/>
          </w:rPr>
          <w:t>NEP 2410</w:t>
        </w:r>
      </w:hyperlink>
      <w:r w:rsidR="00282E09">
        <w:t xml:space="preserve"> - Examen limité de comptes intermédiaires en application de dispositions légales ou réglementaires.</w:t>
      </w:r>
    </w:p>
    <w:p w:rsidR="00282E09" w:rsidRPr="001813A5" w:rsidRDefault="00282E09" w:rsidP="00282E09">
      <w:pPr>
        <w:rPr>
          <w:rStyle w:val="lev"/>
        </w:rPr>
      </w:pPr>
    </w:p>
    <w:p w:rsidR="00282E09" w:rsidRPr="00312830" w:rsidRDefault="00282E09" w:rsidP="00282E09">
      <w:pPr>
        <w:pStyle w:val="CACTitre4"/>
      </w:pPr>
      <w:r>
        <w:t>Rapports à l'AGO</w:t>
      </w:r>
    </w:p>
    <w:p w:rsidR="00282E09" w:rsidRPr="00DB7459" w:rsidRDefault="00282E09" w:rsidP="00282E09">
      <w:pPr>
        <w:rPr>
          <w:rStyle w:val="lev"/>
        </w:rPr>
      </w:pPr>
    </w:p>
    <w:p w:rsidR="00282E09" w:rsidRDefault="00282E09" w:rsidP="00282E09">
      <w:pPr>
        <w:pStyle w:val="Paragraphedeliste"/>
        <w:numPr>
          <w:ilvl w:val="0"/>
          <w:numId w:val="23"/>
        </w:numPr>
        <w:spacing w:before="60" w:after="60"/>
      </w:pPr>
      <w:r>
        <w:t>Code de commerce : R. 225-73, R. 225-73-1, R. 225-89.</w:t>
      </w:r>
    </w:p>
    <w:p w:rsidR="00282E09" w:rsidRDefault="00282E09" w:rsidP="00282E09">
      <w:pPr>
        <w:pStyle w:val="Paragraphedeliste"/>
        <w:numPr>
          <w:ilvl w:val="0"/>
          <w:numId w:val="23"/>
        </w:numPr>
        <w:spacing w:before="60" w:after="60"/>
      </w:pPr>
      <w:r>
        <w:t>Code monétaire et financier : L. 451-1-2 I.</w:t>
      </w:r>
    </w:p>
    <w:p w:rsidR="00282E09" w:rsidRDefault="00282E09" w:rsidP="00282E09">
      <w:pPr>
        <w:pStyle w:val="Paragraphedeliste"/>
        <w:numPr>
          <w:ilvl w:val="0"/>
          <w:numId w:val="23"/>
        </w:numPr>
        <w:spacing w:before="60" w:after="60"/>
      </w:pPr>
      <w:r>
        <w:t>Règlement général de l'AMF : 222-3.</w:t>
      </w:r>
    </w:p>
    <w:p w:rsidR="00282E09" w:rsidRPr="001813A5" w:rsidRDefault="00282E09" w:rsidP="00282E09">
      <w:pPr>
        <w:rPr>
          <w:rStyle w:val="lev"/>
        </w:rPr>
      </w:pPr>
    </w:p>
    <w:p w:rsidR="00282E09" w:rsidRPr="0029785D" w:rsidRDefault="00282E09" w:rsidP="00282E09">
      <w:pPr>
        <w:pStyle w:val="CACTitre4"/>
      </w:pPr>
      <w:r w:rsidRPr="0029785D">
        <w:t xml:space="preserve">Rapports à l'AGE </w:t>
      </w:r>
    </w:p>
    <w:p w:rsidR="00282E09" w:rsidRPr="004605CD" w:rsidRDefault="00282E09" w:rsidP="00282E09">
      <w:pPr>
        <w:rPr>
          <w:rStyle w:val="lev"/>
        </w:rPr>
      </w:pPr>
    </w:p>
    <w:p w:rsidR="00282E09" w:rsidRDefault="00282E09" w:rsidP="00282E09">
      <w:pPr>
        <w:pStyle w:val="Paragraphedeliste"/>
        <w:numPr>
          <w:ilvl w:val="0"/>
          <w:numId w:val="23"/>
        </w:numPr>
        <w:spacing w:before="60" w:after="60"/>
      </w:pPr>
      <w:r>
        <w:t>Code de commerce : R. 225-73, R. 225-73-1, R. 225-89.</w:t>
      </w:r>
    </w:p>
    <w:p w:rsidR="00282E09" w:rsidRDefault="00282E09" w:rsidP="00282E09"/>
    <w:p w:rsidR="00282E09" w:rsidRPr="00164E5C" w:rsidRDefault="00282E09" w:rsidP="00282E09">
      <w:pPr>
        <w:pStyle w:val="CACTitre3"/>
      </w:pPr>
      <w:bookmarkStart w:id="57" w:name="_Toc452385980"/>
      <w:r w:rsidRPr="00164E5C">
        <w:t>Descriptif de l’obligation ou de la spécificité pour l’émetteur</w:t>
      </w:r>
      <w:bookmarkEnd w:id="57"/>
    </w:p>
    <w:p w:rsidR="00282E09" w:rsidRDefault="00282E09" w:rsidP="00282E09"/>
    <w:p w:rsidR="00282E09" w:rsidRPr="0029785D" w:rsidRDefault="00282E09" w:rsidP="00282E09">
      <w:pPr>
        <w:pStyle w:val="CACTitre4"/>
      </w:pPr>
      <w:r w:rsidRPr="0029785D">
        <w:t>Documents à l'AGO</w:t>
      </w:r>
    </w:p>
    <w:p w:rsidR="00282E09" w:rsidRDefault="00282E09" w:rsidP="00282E09"/>
    <w:p w:rsidR="00282E09" w:rsidRDefault="00282E09" w:rsidP="00282E09">
      <w:r>
        <w:t xml:space="preserve">Publication, sur le site internet de l'émetteur, pendant une période ininterrompue commençant </w:t>
      </w:r>
      <w:r w:rsidRPr="0029785D">
        <w:rPr>
          <w:b/>
        </w:rPr>
        <w:t>au plus tard le 21e jour</w:t>
      </w:r>
      <w:r>
        <w:t xml:space="preserve"> précédant l'assemblée, de certaines informations et documents, dont ceux destinés à être présentés à l'assemblée, le texte des projets de résolution, les </w:t>
      </w:r>
      <w:r w:rsidRPr="0029785D">
        <w:rPr>
          <w:b/>
        </w:rPr>
        <w:t>rapports des commissaires aux comptes</w:t>
      </w:r>
      <w:r>
        <w:t>.</w:t>
      </w:r>
    </w:p>
    <w:p w:rsidR="00282E09" w:rsidRDefault="00282E09" w:rsidP="00282E09"/>
    <w:p w:rsidR="00282E09" w:rsidRPr="0029785D" w:rsidRDefault="00282E09" w:rsidP="00282E09">
      <w:pPr>
        <w:pStyle w:val="CACTitre4"/>
      </w:pPr>
      <w:r w:rsidRPr="0029785D">
        <w:t xml:space="preserve">Documents à l'AGE </w:t>
      </w:r>
    </w:p>
    <w:p w:rsidR="00282E09" w:rsidRDefault="00282E09" w:rsidP="00282E09"/>
    <w:p w:rsidR="00282E09" w:rsidRDefault="00282E09" w:rsidP="00282E09">
      <w:r>
        <w:t xml:space="preserve">Tout actionnaire a le droit, </w:t>
      </w:r>
      <w:r w:rsidRPr="0029785D">
        <w:rPr>
          <w:b/>
        </w:rPr>
        <w:t>à compter de la convocation de l'assemblée générale extraordinaire</w:t>
      </w:r>
      <w:r>
        <w:t xml:space="preserve"> [...] et au moins pendant le délai de 21 jours qui précède la date de la réunion, de prendre connaissance du rapport des commissaires aux comptes.</w:t>
      </w:r>
    </w:p>
    <w:p w:rsidR="00282E09" w:rsidRDefault="00282E09" w:rsidP="00282E09">
      <w:r>
        <w:lastRenderedPageBreak/>
        <w:t>Pour les spécificités liées au rapport financier annuel et au rapport financier semestriel (cf. § </w:t>
      </w:r>
      <w:r w:rsidRPr="00C41466">
        <w:t>1.1.3</w:t>
      </w:r>
      <w:r>
        <w:t xml:space="preserve"> et </w:t>
      </w:r>
      <w:r w:rsidRPr="00C41466">
        <w:t>3</w:t>
      </w:r>
      <w:r>
        <w:t xml:space="preserve"> de la section 400 de ce chapitre).</w:t>
      </w:r>
    </w:p>
    <w:p w:rsidR="00282E09" w:rsidRDefault="00282E09" w:rsidP="00282E09"/>
    <w:p w:rsidR="00282E09" w:rsidRPr="00252117" w:rsidRDefault="00282E09" w:rsidP="00282E09">
      <w:pPr>
        <w:pStyle w:val="CACTitre3"/>
        <w:rPr>
          <w:rStyle w:val="lev"/>
        </w:rPr>
      </w:pPr>
      <w:bookmarkStart w:id="58" w:name="_Toc452385981"/>
      <w:r>
        <w:rPr>
          <w:rStyle w:val="lev"/>
        </w:rPr>
        <w:t>Descriptif de l’obligation ou de la spécificité pour le(s) commissaire(s) aux comptes / points pour attention</w:t>
      </w:r>
      <w:bookmarkEnd w:id="58"/>
    </w:p>
    <w:p w:rsidR="00282E09" w:rsidRDefault="00282E09" w:rsidP="00282E09"/>
    <w:p w:rsidR="00282E09" w:rsidRPr="0029785D" w:rsidRDefault="00282E09" w:rsidP="00282E09">
      <w:pPr>
        <w:pStyle w:val="CACTitre4"/>
      </w:pPr>
      <w:r w:rsidRPr="0029785D">
        <w:t>Rapport sur les comptes semestriels (</w:t>
      </w:r>
      <w:r w:rsidRPr="00C41466">
        <w:t>cf. paragraphe 4.2.1</w:t>
      </w:r>
      <w:r w:rsidRPr="0029785D">
        <w:t>)</w:t>
      </w:r>
    </w:p>
    <w:p w:rsidR="00282E09" w:rsidRDefault="00282E09" w:rsidP="00282E09"/>
    <w:p w:rsidR="00282E09" w:rsidRDefault="00282E09" w:rsidP="00282E09">
      <w:r>
        <w:t>Les commissaires aux comptes établissent un rapport d'examen limité sur l'information financière semestrielle, inclus dans le rapport financier semestriel et couvrant tant les comptes que le rapport semestriel d'activité. Le rapport financier semestriel doit être publié et déposé auprès de l'AMF dans les 2 mois qui suivent la fin du ter semestre de l'exercice.</w:t>
      </w:r>
    </w:p>
    <w:p w:rsidR="00282E09" w:rsidRDefault="00282E09" w:rsidP="00282E09">
      <w:r>
        <w:t>Le non-respect par la société du délai de 2 mois précité devrait conduire les commissaires aux comptes à signaler (CNP 2007-22, bulletin CNCC n° 151, septembre 2008, p. 387) :</w:t>
      </w:r>
    </w:p>
    <w:p w:rsidR="00282E09" w:rsidRDefault="00282E09" w:rsidP="00282E09">
      <w:pPr>
        <w:pStyle w:val="Paragraphedeliste"/>
        <w:numPr>
          <w:ilvl w:val="0"/>
          <w:numId w:val="23"/>
        </w:numPr>
        <w:spacing w:before="60" w:after="60"/>
      </w:pPr>
      <w:r>
        <w:t>à l'AMF le non-respect du délai par l'entité ;</w:t>
      </w:r>
    </w:p>
    <w:p w:rsidR="00282E09" w:rsidRDefault="00282E09" w:rsidP="00282E09">
      <w:pPr>
        <w:pStyle w:val="Paragraphedeliste"/>
        <w:numPr>
          <w:ilvl w:val="0"/>
          <w:numId w:val="23"/>
        </w:numPr>
        <w:spacing w:before="60" w:after="60"/>
      </w:pPr>
      <w:r>
        <w:t>à la plus prochaine assemblée générale le non-respect du délai de publication, après avoir apprécié si une telle communication présente encore un intérêt pour les actionnaires lorsque, entre-temps, le rapport financier semestriel a été publié.</w:t>
      </w:r>
    </w:p>
    <w:p w:rsidR="00282E09" w:rsidRDefault="00282E09" w:rsidP="00282E09"/>
    <w:p w:rsidR="00282E09" w:rsidRPr="0029785D" w:rsidRDefault="00282E09" w:rsidP="00282E09">
      <w:pPr>
        <w:pStyle w:val="CACTitre4"/>
      </w:pPr>
      <w:r>
        <w:t>Rapport sur les comptes annuels</w:t>
      </w:r>
      <w:r w:rsidRPr="0029785D">
        <w:t xml:space="preserve"> consolidés et autres rapports</w:t>
      </w:r>
      <w:r>
        <w:t xml:space="preserve"> </w:t>
      </w:r>
      <w:r w:rsidRPr="0029785D">
        <w:t>(</w:t>
      </w:r>
      <w:r w:rsidRPr="00C41466">
        <w:t xml:space="preserve">cf. également </w:t>
      </w:r>
      <w:r>
        <w:t xml:space="preserve">§ </w:t>
      </w:r>
      <w:r w:rsidRPr="00C41466">
        <w:t>1.1.3</w:t>
      </w:r>
      <w:r>
        <w:t xml:space="preserve"> de la section 400 de ce chapitre</w:t>
      </w:r>
      <w:r w:rsidRPr="0029785D">
        <w:t>)</w:t>
      </w:r>
    </w:p>
    <w:p w:rsidR="00282E09" w:rsidRDefault="00282E09" w:rsidP="00282E09">
      <w:pPr>
        <w:tabs>
          <w:tab w:val="left" w:pos="2469"/>
        </w:tabs>
      </w:pPr>
    </w:p>
    <w:p w:rsidR="00282E09" w:rsidRDefault="00282E09" w:rsidP="00282E09">
      <w:r>
        <w:t>Les rapports de certification des commissaires aux comptes sur les comptes annuels et consolidés sont inclus dans le rapport financier annuel. Pour le délai de publication des comptes et des rapports des commissaires aux comptes, inclus dans le rapport financier annuel, en vue de l'assemblée générale, cf. tableau synthétique ci-après (cas d'une SA cotée sur Euronext).</w:t>
      </w:r>
    </w:p>
    <w:p w:rsidR="00282E09" w:rsidRDefault="00282E09" w:rsidP="00282E09">
      <w:pPr>
        <w:tabs>
          <w:tab w:val="left" w:pos="1965"/>
        </w:tabs>
      </w:pPr>
    </w:p>
    <w:tbl>
      <w:tblPr>
        <w:tblW w:w="0" w:type="auto"/>
        <w:tblLook w:val="04A0" w:firstRow="1" w:lastRow="0" w:firstColumn="1" w:lastColumn="0" w:noHBand="0" w:noVBand="1"/>
      </w:tblPr>
      <w:tblGrid>
        <w:gridCol w:w="2929"/>
        <w:gridCol w:w="2849"/>
        <w:gridCol w:w="2930"/>
      </w:tblGrid>
      <w:tr w:rsidR="00282E09" w:rsidRPr="008A1171" w:rsidTr="00A11B84">
        <w:tc>
          <w:tcPr>
            <w:tcW w:w="2929" w:type="dxa"/>
            <w:tcBorders>
              <w:bottom w:val="single" w:sz="4" w:space="0" w:color="auto"/>
              <w:right w:val="single" w:sz="4" w:space="0" w:color="auto"/>
            </w:tcBorders>
          </w:tcPr>
          <w:p w:rsidR="00282E09" w:rsidRPr="008A1171" w:rsidRDefault="00282E09" w:rsidP="00A11B84">
            <w:pPr>
              <w:tabs>
                <w:tab w:val="left" w:pos="1965"/>
              </w:tabs>
              <w:spacing w:before="60" w:after="60"/>
              <w:jc w:val="center"/>
              <w:rPr>
                <w:sz w:val="20"/>
              </w:rPr>
            </w:pPr>
          </w:p>
        </w:tc>
        <w:tc>
          <w:tcPr>
            <w:tcW w:w="2849" w:type="dxa"/>
            <w:tcBorders>
              <w:top w:val="single" w:sz="4" w:space="0" w:color="auto"/>
              <w:left w:val="single" w:sz="4" w:space="0" w:color="auto"/>
              <w:bottom w:val="single" w:sz="4" w:space="0" w:color="auto"/>
              <w:right w:val="single" w:sz="4" w:space="0" w:color="auto"/>
            </w:tcBorders>
            <w:shd w:val="clear" w:color="auto" w:fill="666666" w:themeFill="text2"/>
          </w:tcPr>
          <w:p w:rsidR="00282E09" w:rsidRPr="00ED1241" w:rsidRDefault="00282E09" w:rsidP="00A11B84">
            <w:pPr>
              <w:tabs>
                <w:tab w:val="left" w:pos="1965"/>
              </w:tabs>
              <w:spacing w:before="60" w:after="60"/>
              <w:jc w:val="center"/>
              <w:rPr>
                <w:b/>
                <w:color w:val="FFFFFF" w:themeColor="background1"/>
                <w:sz w:val="20"/>
              </w:rPr>
            </w:pPr>
            <w:r w:rsidRPr="00ED1241">
              <w:rPr>
                <w:b/>
                <w:color w:val="FFFFFF" w:themeColor="background1"/>
                <w:sz w:val="20"/>
              </w:rPr>
              <w:t>Exemple 1</w:t>
            </w:r>
          </w:p>
        </w:tc>
        <w:tc>
          <w:tcPr>
            <w:tcW w:w="2930" w:type="dxa"/>
            <w:tcBorders>
              <w:top w:val="single" w:sz="4" w:space="0" w:color="auto"/>
              <w:left w:val="single" w:sz="4" w:space="0" w:color="auto"/>
              <w:bottom w:val="single" w:sz="4" w:space="0" w:color="auto"/>
              <w:right w:val="single" w:sz="4" w:space="0" w:color="auto"/>
            </w:tcBorders>
            <w:shd w:val="clear" w:color="auto" w:fill="666666" w:themeFill="text2"/>
          </w:tcPr>
          <w:p w:rsidR="00282E09" w:rsidRPr="00ED1241" w:rsidRDefault="00282E09" w:rsidP="00A11B84">
            <w:pPr>
              <w:tabs>
                <w:tab w:val="left" w:pos="1965"/>
              </w:tabs>
              <w:spacing w:before="60" w:after="60"/>
              <w:jc w:val="center"/>
              <w:rPr>
                <w:b/>
                <w:color w:val="FFFFFF" w:themeColor="background1"/>
                <w:sz w:val="20"/>
              </w:rPr>
            </w:pPr>
            <w:r w:rsidRPr="00ED1241">
              <w:rPr>
                <w:b/>
                <w:color w:val="FFFFFF" w:themeColor="background1"/>
                <w:sz w:val="20"/>
              </w:rPr>
              <w:t>Exemple 2</w:t>
            </w:r>
          </w:p>
        </w:tc>
      </w:tr>
      <w:tr w:rsidR="00282E09" w:rsidRPr="008A1171" w:rsidTr="00A11B84">
        <w:tc>
          <w:tcPr>
            <w:tcW w:w="2929" w:type="dxa"/>
            <w:tcBorders>
              <w:top w:val="single" w:sz="4" w:space="0" w:color="auto"/>
              <w:left w:val="single" w:sz="4" w:space="0" w:color="auto"/>
              <w:bottom w:val="single" w:sz="4" w:space="0" w:color="auto"/>
              <w:right w:val="single" w:sz="4" w:space="0" w:color="auto"/>
            </w:tcBorders>
          </w:tcPr>
          <w:p w:rsidR="00282E09" w:rsidRPr="008A1171" w:rsidRDefault="00282E09" w:rsidP="00A11B84">
            <w:pPr>
              <w:tabs>
                <w:tab w:val="left" w:pos="1965"/>
              </w:tabs>
              <w:spacing w:before="60" w:after="60"/>
              <w:jc w:val="left"/>
              <w:rPr>
                <w:sz w:val="20"/>
              </w:rPr>
            </w:pPr>
            <w:r w:rsidRPr="008A1171">
              <w:rPr>
                <w:sz w:val="20"/>
              </w:rPr>
              <w:t>AG mixte convoquée</w:t>
            </w:r>
          </w:p>
        </w:tc>
        <w:tc>
          <w:tcPr>
            <w:tcW w:w="2849" w:type="dxa"/>
            <w:tcBorders>
              <w:top w:val="single" w:sz="4" w:space="0" w:color="auto"/>
              <w:left w:val="single" w:sz="4" w:space="0" w:color="auto"/>
              <w:bottom w:val="single" w:sz="4" w:space="0" w:color="auto"/>
              <w:right w:val="single" w:sz="4" w:space="0" w:color="auto"/>
            </w:tcBorders>
          </w:tcPr>
          <w:p w:rsidR="00282E09" w:rsidRPr="008A1171" w:rsidRDefault="00282E09" w:rsidP="00A11B84">
            <w:pPr>
              <w:tabs>
                <w:tab w:val="left" w:pos="1965"/>
              </w:tabs>
              <w:spacing w:before="60" w:after="60"/>
              <w:jc w:val="center"/>
              <w:rPr>
                <w:sz w:val="20"/>
              </w:rPr>
            </w:pPr>
            <w:r w:rsidRPr="008A1171">
              <w:rPr>
                <w:sz w:val="20"/>
              </w:rPr>
              <w:t>Le 10 avril pour le 15 mai N</w:t>
            </w:r>
          </w:p>
        </w:tc>
        <w:tc>
          <w:tcPr>
            <w:tcW w:w="2930" w:type="dxa"/>
            <w:tcBorders>
              <w:top w:val="single" w:sz="4" w:space="0" w:color="auto"/>
              <w:left w:val="single" w:sz="4" w:space="0" w:color="auto"/>
              <w:bottom w:val="single" w:sz="4" w:space="0" w:color="auto"/>
              <w:right w:val="single" w:sz="4" w:space="0" w:color="auto"/>
            </w:tcBorders>
          </w:tcPr>
          <w:p w:rsidR="00282E09" w:rsidRPr="008A1171" w:rsidRDefault="00282E09" w:rsidP="00A11B84">
            <w:pPr>
              <w:tabs>
                <w:tab w:val="left" w:pos="1965"/>
              </w:tabs>
              <w:spacing w:before="60" w:after="60"/>
              <w:jc w:val="center"/>
              <w:rPr>
                <w:sz w:val="20"/>
              </w:rPr>
            </w:pPr>
            <w:r w:rsidRPr="008A1171">
              <w:rPr>
                <w:sz w:val="20"/>
              </w:rPr>
              <w:t>Le 31 mai pour le 15 juin N</w:t>
            </w:r>
          </w:p>
        </w:tc>
      </w:tr>
      <w:tr w:rsidR="00282E09" w:rsidRPr="008A1171" w:rsidTr="00A11B84">
        <w:tc>
          <w:tcPr>
            <w:tcW w:w="8708" w:type="dxa"/>
            <w:gridSpan w:val="3"/>
            <w:tcBorders>
              <w:top w:val="single" w:sz="4" w:space="0" w:color="auto"/>
              <w:left w:val="single" w:sz="4" w:space="0" w:color="auto"/>
              <w:bottom w:val="single" w:sz="4" w:space="0" w:color="auto"/>
              <w:right w:val="single" w:sz="4" w:space="0" w:color="auto"/>
            </w:tcBorders>
          </w:tcPr>
          <w:p w:rsidR="00282E09" w:rsidRPr="008A1171" w:rsidRDefault="00282E09" w:rsidP="00A11B84">
            <w:pPr>
              <w:tabs>
                <w:tab w:val="left" w:pos="1965"/>
              </w:tabs>
              <w:spacing w:before="60" w:after="60"/>
              <w:jc w:val="center"/>
              <w:rPr>
                <w:sz w:val="20"/>
              </w:rPr>
            </w:pPr>
            <w:r w:rsidRPr="008A1171">
              <w:rPr>
                <w:sz w:val="20"/>
              </w:rPr>
              <w:t>Date limite d’établissement</w:t>
            </w:r>
          </w:p>
        </w:tc>
      </w:tr>
      <w:tr w:rsidR="00282E09" w:rsidRPr="008A1171" w:rsidTr="00A11B84">
        <w:tc>
          <w:tcPr>
            <w:tcW w:w="2929" w:type="dxa"/>
            <w:tcBorders>
              <w:top w:val="single" w:sz="4" w:space="0" w:color="auto"/>
              <w:left w:val="single" w:sz="4" w:space="0" w:color="auto"/>
              <w:bottom w:val="single" w:sz="4" w:space="0" w:color="auto"/>
              <w:right w:val="single" w:sz="4" w:space="0" w:color="auto"/>
            </w:tcBorders>
          </w:tcPr>
          <w:p w:rsidR="00282E09" w:rsidRPr="008A1171" w:rsidRDefault="00282E09" w:rsidP="00A11B84">
            <w:pPr>
              <w:tabs>
                <w:tab w:val="left" w:pos="1965"/>
              </w:tabs>
              <w:spacing w:before="60" w:after="60"/>
              <w:jc w:val="left"/>
              <w:rPr>
                <w:sz w:val="20"/>
              </w:rPr>
            </w:pPr>
            <w:r w:rsidRPr="008A1171">
              <w:rPr>
                <w:sz w:val="20"/>
              </w:rPr>
              <w:t>Rapports sur les comptes annuels et consolidés</w:t>
            </w:r>
          </w:p>
        </w:tc>
        <w:tc>
          <w:tcPr>
            <w:tcW w:w="2849" w:type="dxa"/>
            <w:tcBorders>
              <w:top w:val="single" w:sz="4" w:space="0" w:color="auto"/>
              <w:left w:val="single" w:sz="4" w:space="0" w:color="auto"/>
              <w:bottom w:val="single" w:sz="4" w:space="0" w:color="auto"/>
              <w:right w:val="single" w:sz="4" w:space="0" w:color="auto"/>
            </w:tcBorders>
          </w:tcPr>
          <w:p w:rsidR="00282E09" w:rsidRPr="008A1171" w:rsidRDefault="00282E09" w:rsidP="00A11B84">
            <w:pPr>
              <w:tabs>
                <w:tab w:val="left" w:pos="1965"/>
              </w:tabs>
              <w:spacing w:before="60" w:after="60"/>
              <w:jc w:val="center"/>
              <w:rPr>
                <w:sz w:val="20"/>
              </w:rPr>
            </w:pPr>
            <w:r w:rsidRPr="008A1171">
              <w:rPr>
                <w:sz w:val="20"/>
              </w:rPr>
              <w:t>24 avril (15 mai – 21 jours)</w:t>
            </w:r>
          </w:p>
        </w:tc>
        <w:tc>
          <w:tcPr>
            <w:tcW w:w="2930" w:type="dxa"/>
            <w:tcBorders>
              <w:top w:val="single" w:sz="4" w:space="0" w:color="auto"/>
              <w:left w:val="single" w:sz="4" w:space="0" w:color="auto"/>
              <w:bottom w:val="single" w:sz="4" w:space="0" w:color="auto"/>
              <w:right w:val="single" w:sz="4" w:space="0" w:color="auto"/>
            </w:tcBorders>
          </w:tcPr>
          <w:p w:rsidR="00282E09" w:rsidRPr="008A1171" w:rsidRDefault="00282E09" w:rsidP="00A11B84">
            <w:pPr>
              <w:tabs>
                <w:tab w:val="left" w:pos="1965"/>
              </w:tabs>
              <w:spacing w:before="60" w:after="60"/>
              <w:jc w:val="center"/>
              <w:rPr>
                <w:sz w:val="20"/>
              </w:rPr>
            </w:pPr>
            <w:r w:rsidRPr="008A1171">
              <w:rPr>
                <w:sz w:val="20"/>
              </w:rPr>
              <w:t>30 avril (maximum 4 mois à compter de la clôture)</w:t>
            </w:r>
          </w:p>
        </w:tc>
      </w:tr>
      <w:tr w:rsidR="00282E09" w:rsidRPr="008A1171" w:rsidTr="00A11B84">
        <w:tc>
          <w:tcPr>
            <w:tcW w:w="2929" w:type="dxa"/>
            <w:tcBorders>
              <w:top w:val="single" w:sz="4" w:space="0" w:color="auto"/>
              <w:left w:val="single" w:sz="4" w:space="0" w:color="auto"/>
              <w:bottom w:val="single" w:sz="4" w:space="0" w:color="auto"/>
              <w:right w:val="single" w:sz="4" w:space="0" w:color="auto"/>
            </w:tcBorders>
          </w:tcPr>
          <w:p w:rsidR="00282E09" w:rsidRPr="008A1171" w:rsidRDefault="00282E09" w:rsidP="00A11B84">
            <w:pPr>
              <w:tabs>
                <w:tab w:val="left" w:pos="1965"/>
              </w:tabs>
              <w:spacing w:before="60" w:after="60"/>
              <w:jc w:val="left"/>
              <w:rPr>
                <w:sz w:val="20"/>
              </w:rPr>
            </w:pPr>
            <w:r w:rsidRPr="008A1171">
              <w:rPr>
                <w:sz w:val="20"/>
              </w:rPr>
              <w:t>Autres rapports à l’AGO (rapport spécial…)</w:t>
            </w:r>
          </w:p>
        </w:tc>
        <w:tc>
          <w:tcPr>
            <w:tcW w:w="2849" w:type="dxa"/>
            <w:tcBorders>
              <w:top w:val="single" w:sz="4" w:space="0" w:color="auto"/>
              <w:left w:val="single" w:sz="4" w:space="0" w:color="auto"/>
              <w:bottom w:val="single" w:sz="4" w:space="0" w:color="auto"/>
              <w:right w:val="single" w:sz="4" w:space="0" w:color="auto"/>
            </w:tcBorders>
          </w:tcPr>
          <w:p w:rsidR="00282E09" w:rsidRPr="008A1171" w:rsidRDefault="00282E09" w:rsidP="00A11B84">
            <w:pPr>
              <w:tabs>
                <w:tab w:val="left" w:pos="1965"/>
              </w:tabs>
              <w:spacing w:before="60" w:after="60"/>
              <w:jc w:val="center"/>
              <w:rPr>
                <w:sz w:val="20"/>
              </w:rPr>
            </w:pPr>
            <w:r w:rsidRPr="008A1171">
              <w:rPr>
                <w:sz w:val="20"/>
              </w:rPr>
              <w:t>24 avril (15 mai – 21 jours)</w:t>
            </w:r>
          </w:p>
        </w:tc>
        <w:tc>
          <w:tcPr>
            <w:tcW w:w="2930" w:type="dxa"/>
            <w:tcBorders>
              <w:top w:val="single" w:sz="4" w:space="0" w:color="auto"/>
              <w:left w:val="single" w:sz="4" w:space="0" w:color="auto"/>
              <w:bottom w:val="single" w:sz="4" w:space="0" w:color="auto"/>
              <w:right w:val="single" w:sz="4" w:space="0" w:color="auto"/>
            </w:tcBorders>
          </w:tcPr>
          <w:p w:rsidR="00282E09" w:rsidRPr="008A1171" w:rsidRDefault="00282E09" w:rsidP="00A11B84">
            <w:pPr>
              <w:tabs>
                <w:tab w:val="left" w:pos="1965"/>
              </w:tabs>
              <w:spacing w:before="60" w:after="60"/>
              <w:jc w:val="center"/>
              <w:rPr>
                <w:sz w:val="20"/>
              </w:rPr>
            </w:pPr>
            <w:r w:rsidRPr="008A1171">
              <w:rPr>
                <w:sz w:val="20"/>
              </w:rPr>
              <w:t>25 mai (15 juin – 21 jours)</w:t>
            </w:r>
          </w:p>
        </w:tc>
      </w:tr>
      <w:tr w:rsidR="00282E09" w:rsidRPr="008A1171" w:rsidTr="00A11B84">
        <w:tc>
          <w:tcPr>
            <w:tcW w:w="2929" w:type="dxa"/>
            <w:tcBorders>
              <w:top w:val="single" w:sz="4" w:space="0" w:color="auto"/>
              <w:left w:val="single" w:sz="4" w:space="0" w:color="auto"/>
              <w:bottom w:val="single" w:sz="4" w:space="0" w:color="auto"/>
              <w:right w:val="single" w:sz="4" w:space="0" w:color="auto"/>
            </w:tcBorders>
          </w:tcPr>
          <w:p w:rsidR="00282E09" w:rsidRPr="008A1171" w:rsidRDefault="00282E09" w:rsidP="00A11B84">
            <w:pPr>
              <w:tabs>
                <w:tab w:val="left" w:pos="1965"/>
              </w:tabs>
              <w:spacing w:before="60" w:after="60"/>
              <w:jc w:val="left"/>
              <w:rPr>
                <w:sz w:val="20"/>
              </w:rPr>
            </w:pPr>
            <w:r w:rsidRPr="008A1171">
              <w:rPr>
                <w:sz w:val="20"/>
              </w:rPr>
              <w:t>Rapports à l’AGE</w:t>
            </w:r>
          </w:p>
        </w:tc>
        <w:tc>
          <w:tcPr>
            <w:tcW w:w="2849" w:type="dxa"/>
            <w:tcBorders>
              <w:top w:val="single" w:sz="4" w:space="0" w:color="auto"/>
              <w:left w:val="single" w:sz="4" w:space="0" w:color="auto"/>
              <w:bottom w:val="single" w:sz="4" w:space="0" w:color="auto"/>
              <w:right w:val="single" w:sz="4" w:space="0" w:color="auto"/>
            </w:tcBorders>
          </w:tcPr>
          <w:p w:rsidR="00282E09" w:rsidRPr="008A1171" w:rsidRDefault="00282E09" w:rsidP="00A11B84">
            <w:pPr>
              <w:tabs>
                <w:tab w:val="left" w:pos="1965"/>
              </w:tabs>
              <w:spacing w:before="60" w:after="60"/>
              <w:jc w:val="center"/>
              <w:rPr>
                <w:sz w:val="20"/>
              </w:rPr>
            </w:pPr>
            <w:r w:rsidRPr="008A1171">
              <w:rPr>
                <w:sz w:val="20"/>
              </w:rPr>
              <w:t>10 avril (date de convocation)</w:t>
            </w:r>
          </w:p>
        </w:tc>
        <w:tc>
          <w:tcPr>
            <w:tcW w:w="2930" w:type="dxa"/>
            <w:tcBorders>
              <w:top w:val="single" w:sz="4" w:space="0" w:color="auto"/>
              <w:left w:val="single" w:sz="4" w:space="0" w:color="auto"/>
              <w:bottom w:val="single" w:sz="4" w:space="0" w:color="auto"/>
              <w:right w:val="single" w:sz="4" w:space="0" w:color="auto"/>
            </w:tcBorders>
          </w:tcPr>
          <w:p w:rsidR="00282E09" w:rsidRPr="008A1171" w:rsidRDefault="00282E09" w:rsidP="00A11B84">
            <w:pPr>
              <w:tabs>
                <w:tab w:val="left" w:pos="1965"/>
              </w:tabs>
              <w:spacing w:before="60" w:after="60"/>
              <w:jc w:val="center"/>
              <w:rPr>
                <w:sz w:val="20"/>
              </w:rPr>
            </w:pPr>
            <w:r w:rsidRPr="008A1171">
              <w:rPr>
                <w:sz w:val="20"/>
              </w:rPr>
              <w:t>25 mai (15 juin – 21 jours)</w:t>
            </w:r>
          </w:p>
        </w:tc>
      </w:tr>
    </w:tbl>
    <w:p w:rsidR="00282E09" w:rsidRDefault="00282E09" w:rsidP="00282E09">
      <w:pPr>
        <w:tabs>
          <w:tab w:val="left" w:pos="1965"/>
        </w:tabs>
      </w:pPr>
    </w:p>
    <w:p w:rsidR="00282E09" w:rsidRPr="00BA33C3" w:rsidRDefault="00282E09" w:rsidP="00282E09">
      <w:pPr>
        <w:pStyle w:val="CACTitre3"/>
        <w:rPr>
          <w:rStyle w:val="lev"/>
        </w:rPr>
      </w:pPr>
      <w:bookmarkStart w:id="59" w:name="_Toc452385982"/>
      <w:r>
        <w:rPr>
          <w:rStyle w:val="lev"/>
        </w:rPr>
        <w:t>Outils disponibles</w:t>
      </w:r>
      <w:bookmarkEnd w:id="59"/>
    </w:p>
    <w:p w:rsidR="00282E09" w:rsidRDefault="00282E09" w:rsidP="00282E09">
      <w:pPr>
        <w:tabs>
          <w:tab w:val="left" w:pos="1965"/>
        </w:tabs>
      </w:pPr>
    </w:p>
    <w:p w:rsidR="00282E09" w:rsidRDefault="00282E09" w:rsidP="00282E09">
      <w:pPr>
        <w:pStyle w:val="Paragraphedeliste"/>
        <w:numPr>
          <w:ilvl w:val="0"/>
          <w:numId w:val="38"/>
        </w:numPr>
        <w:spacing w:before="60" w:after="60"/>
      </w:pPr>
      <w:r w:rsidRPr="00C41466">
        <w:t>Communication sur le décret n° 2010-684</w:t>
      </w:r>
      <w:r w:rsidRPr="00856681">
        <w:t xml:space="preserve"> du 23 juin 2010 (bulletin CNCC, n° 162, juin 2011, p. 212 s).</w:t>
      </w:r>
    </w:p>
    <w:p w:rsidR="00282E09" w:rsidRDefault="00282E09" w:rsidP="00282E09">
      <w:pPr>
        <w:tabs>
          <w:tab w:val="left" w:pos="1965"/>
        </w:tabs>
      </w:pPr>
      <w:bookmarkStart w:id="60" w:name="_3.3.2._ALERTE"/>
      <w:bookmarkStart w:id="61" w:name="_Toc335388810"/>
      <w:bookmarkEnd w:id="60"/>
    </w:p>
    <w:p w:rsidR="00282E09" w:rsidRDefault="00282E09" w:rsidP="00282E09">
      <w:pPr>
        <w:pStyle w:val="CACTitre2"/>
      </w:pPr>
      <w:r>
        <w:t xml:space="preserve"> </w:t>
      </w:r>
      <w:bookmarkStart w:id="62" w:name="_Toc427855170"/>
      <w:bookmarkStart w:id="63" w:name="_Toc452385983"/>
      <w:r>
        <w:t>ALERTE</w:t>
      </w:r>
      <w:bookmarkEnd w:id="61"/>
      <w:bookmarkEnd w:id="62"/>
      <w:bookmarkEnd w:id="63"/>
    </w:p>
    <w:p w:rsidR="00282E09" w:rsidRDefault="00282E09" w:rsidP="00282E09">
      <w:pPr>
        <w:rPr>
          <w:rStyle w:val="lev"/>
        </w:rPr>
      </w:pPr>
    </w:p>
    <w:p w:rsidR="00282E09" w:rsidRPr="00252117" w:rsidRDefault="00282E09" w:rsidP="00282E09">
      <w:pPr>
        <w:pStyle w:val="CACTitre3"/>
        <w:rPr>
          <w:rStyle w:val="lev"/>
        </w:rPr>
      </w:pPr>
      <w:bookmarkStart w:id="64" w:name="_Toc452385984"/>
      <w:r>
        <w:rPr>
          <w:rStyle w:val="lev"/>
        </w:rPr>
        <w:t>Textes de référence</w:t>
      </w:r>
      <w:bookmarkEnd w:id="64"/>
    </w:p>
    <w:p w:rsidR="00282E09" w:rsidRDefault="00282E09" w:rsidP="00282E09">
      <w:pPr>
        <w:tabs>
          <w:tab w:val="left" w:pos="1965"/>
        </w:tabs>
      </w:pPr>
    </w:p>
    <w:p w:rsidR="00282E09" w:rsidRPr="00CD717B" w:rsidRDefault="00282E09" w:rsidP="00282E09">
      <w:pPr>
        <w:pStyle w:val="Paragraphedeliste"/>
        <w:numPr>
          <w:ilvl w:val="0"/>
          <w:numId w:val="23"/>
        </w:numPr>
        <w:spacing w:before="60" w:after="60"/>
      </w:pPr>
      <w:r w:rsidRPr="00CD717B">
        <w:t>Code monétaire et financier : article L. 621-22 (IV).</w:t>
      </w:r>
    </w:p>
    <w:p w:rsidR="00282E09" w:rsidRDefault="00282E09" w:rsidP="00282E09"/>
    <w:p w:rsidR="00282E09" w:rsidRPr="00252117" w:rsidRDefault="00282E09" w:rsidP="00282E09">
      <w:pPr>
        <w:pStyle w:val="CACTitre3"/>
        <w:rPr>
          <w:rStyle w:val="lev"/>
        </w:rPr>
      </w:pPr>
      <w:bookmarkStart w:id="65" w:name="_Toc452385985"/>
      <w:r>
        <w:rPr>
          <w:rStyle w:val="lev"/>
        </w:rPr>
        <w:lastRenderedPageBreak/>
        <w:t>Descriptif de l’obligation ou de la spécificité pour l’émetteur</w:t>
      </w:r>
      <w:bookmarkEnd w:id="65"/>
    </w:p>
    <w:p w:rsidR="00282E09" w:rsidRDefault="00282E09" w:rsidP="00282E09">
      <w:pPr>
        <w:tabs>
          <w:tab w:val="left" w:pos="1965"/>
        </w:tabs>
      </w:pPr>
    </w:p>
    <w:p w:rsidR="00282E09" w:rsidRDefault="00282E09" w:rsidP="00282E09">
      <w:pPr>
        <w:pStyle w:val="Paragraphedeliste"/>
        <w:numPr>
          <w:ilvl w:val="0"/>
          <w:numId w:val="23"/>
        </w:numPr>
        <w:spacing w:before="60" w:after="60"/>
      </w:pPr>
      <w:r w:rsidRPr="00CD717B">
        <w:t>Application du régime de droit commun</w:t>
      </w:r>
    </w:p>
    <w:p w:rsidR="00282E09" w:rsidRPr="008A7076" w:rsidRDefault="00282E09" w:rsidP="00282E09">
      <w:pPr>
        <w:tabs>
          <w:tab w:val="left" w:pos="1965"/>
        </w:tabs>
        <w:rPr>
          <w:b/>
          <w:bCs/>
        </w:rPr>
      </w:pPr>
    </w:p>
    <w:p w:rsidR="00282E09" w:rsidRPr="00252117" w:rsidRDefault="00282E09" w:rsidP="00282E09">
      <w:pPr>
        <w:pStyle w:val="CACTitre3"/>
        <w:rPr>
          <w:rStyle w:val="lev"/>
        </w:rPr>
      </w:pPr>
      <w:bookmarkStart w:id="66" w:name="_Toc452385986"/>
      <w:r>
        <w:rPr>
          <w:rStyle w:val="lev"/>
        </w:rPr>
        <w:t>Descriptif de l’obligation ou de la spécificité pour le(s) commissaire(s) aux comptes / points pour attention</w:t>
      </w:r>
      <w:bookmarkEnd w:id="66"/>
    </w:p>
    <w:p w:rsidR="00282E09" w:rsidRDefault="00282E09" w:rsidP="00282E09"/>
    <w:p w:rsidR="00282E09" w:rsidRDefault="00282E09" w:rsidP="00282E09">
      <w:r>
        <w:t>Les commissaires aux comptes de sociétés (SA) dont les titres financiers sont admis aux négociations sur un marché réglementé communiquent à l'AMF copie de la lettre dans laquelle ils invitent le président à faire délibérer le conseil d'administration ou le conseil de surveillance sur les faits relevés. Cette lettre est émise lors de la phase 2 de la procédure d'alerte, étant observé qu'aucune information n'est à transmettre à l'AMF lors de la phase 1 de la procédure</w:t>
      </w:r>
      <w:r>
        <w:rPr>
          <w:rStyle w:val="Appelnotedebasdep"/>
        </w:rPr>
        <w:footnoteReference w:id="2"/>
      </w:r>
      <w:r>
        <w:t>.</w:t>
      </w:r>
    </w:p>
    <w:p w:rsidR="00282E09" w:rsidRDefault="00282E09" w:rsidP="00282E09"/>
    <w:p w:rsidR="00282E09" w:rsidRDefault="00282E09" w:rsidP="00282E09">
      <w:r>
        <w:t>L'envoi de la lettre au président doit être simultané à l'information de l'AMF, à charge pour les commissaires aux comptes de prévenir le président de l'information donnée à l'AM F.</w:t>
      </w:r>
    </w:p>
    <w:p w:rsidR="00282E09" w:rsidRDefault="00282E09" w:rsidP="00282E09">
      <w:pPr>
        <w:tabs>
          <w:tab w:val="left" w:pos="1965"/>
        </w:tabs>
      </w:pPr>
    </w:p>
    <w:p w:rsidR="00282E09" w:rsidRPr="00BA33C3" w:rsidRDefault="00282E09" w:rsidP="00282E09">
      <w:pPr>
        <w:pStyle w:val="CACTitre3"/>
        <w:rPr>
          <w:rStyle w:val="lev"/>
        </w:rPr>
      </w:pPr>
      <w:bookmarkStart w:id="67" w:name="_Toc452385987"/>
      <w:r>
        <w:rPr>
          <w:rStyle w:val="lev"/>
        </w:rPr>
        <w:t>Outils disponibles</w:t>
      </w:r>
      <w:bookmarkEnd w:id="67"/>
    </w:p>
    <w:p w:rsidR="00282E09" w:rsidRDefault="00282E09" w:rsidP="00282E09">
      <w:pPr>
        <w:tabs>
          <w:tab w:val="left" w:pos="1965"/>
        </w:tabs>
      </w:pPr>
    </w:p>
    <w:p w:rsidR="00282E09" w:rsidRDefault="00282E09" w:rsidP="00282E09">
      <w:pPr>
        <w:pStyle w:val="Paragraphedeliste"/>
        <w:numPr>
          <w:ilvl w:val="0"/>
          <w:numId w:val="23"/>
        </w:numPr>
        <w:spacing w:before="60" w:after="60"/>
      </w:pPr>
      <w:r>
        <w:t xml:space="preserve">Les relations entre les commissaires aux comptes et l'AMF : Actualisation du </w:t>
      </w:r>
      <w:r w:rsidRPr="00C41466">
        <w:t>guide de lecture de l'article L. 621-22 du code monétaire et financier (juillet 2010)</w:t>
      </w:r>
      <w:r>
        <w:t xml:space="preserve"> (Cf. section 400 du </w:t>
      </w:r>
      <w:hyperlink r:id="rId37" w:history="1">
        <w:r w:rsidRPr="00522CB2">
          <w:rPr>
            <w:rStyle w:val="Lienhypertexte"/>
          </w:rPr>
          <w:t>chapitre 0130</w:t>
        </w:r>
      </w:hyperlink>
      <w:r>
        <w:t>)</w:t>
      </w:r>
    </w:p>
    <w:p w:rsidR="00282E09" w:rsidRDefault="00282E09" w:rsidP="00282E09">
      <w:pPr>
        <w:pStyle w:val="Paragraphedeliste"/>
        <w:numPr>
          <w:ilvl w:val="0"/>
          <w:numId w:val="23"/>
        </w:numPr>
        <w:spacing w:before="60" w:after="60"/>
      </w:pPr>
      <w:r>
        <w:t>Annexe 4 - Exemple de lettre de transmission à l'AMF de la lettre émise dans le cadre de la deuxième phase de la procédure d'alerte.</w:t>
      </w:r>
    </w:p>
    <w:p w:rsidR="00282E09" w:rsidRPr="008A7076" w:rsidRDefault="00282E09" w:rsidP="00282E09">
      <w:pPr>
        <w:tabs>
          <w:tab w:val="left" w:pos="1965"/>
        </w:tabs>
        <w:rPr>
          <w:b/>
          <w:bCs/>
        </w:rPr>
      </w:pPr>
    </w:p>
    <w:p w:rsidR="00282E09" w:rsidRDefault="00282E09" w:rsidP="00282E09">
      <w:pPr>
        <w:ind w:left="709"/>
      </w:pPr>
      <w:r>
        <w:t>AMF - Phase 1 SA</w:t>
      </w:r>
    </w:p>
    <w:p w:rsidR="00282E09" w:rsidRPr="00E74F4D" w:rsidRDefault="00AF58A5" w:rsidP="00282E09">
      <w:pPr>
        <w:ind w:left="2269" w:hanging="851"/>
      </w:pPr>
      <w:hyperlink r:id="rId38" w:history="1">
        <w:r w:rsidR="00282E09" w:rsidRPr="00522CB2">
          <w:rPr>
            <w:rStyle w:val="Lienhypertexte"/>
          </w:rPr>
          <w:t>F210.X002</w:t>
        </w:r>
      </w:hyperlink>
      <w:r w:rsidR="00282E09" w:rsidRPr="00E74F4D">
        <w:t xml:space="preserve"> </w:t>
      </w:r>
      <w:r w:rsidR="00282E09">
        <w:t>- L</w:t>
      </w:r>
      <w:r w:rsidR="00282E09" w:rsidRPr="00E74F4D">
        <w:t>ettre d’envoi à l’AMF de la copie du courrier d’alerte phase 1</w:t>
      </w:r>
    </w:p>
    <w:p w:rsidR="00282E09" w:rsidRDefault="00AF58A5" w:rsidP="00282E09">
      <w:pPr>
        <w:ind w:left="2269" w:hanging="851"/>
      </w:pPr>
      <w:hyperlink r:id="rId39" w:history="1">
        <w:r w:rsidR="00282E09" w:rsidRPr="00522CB2">
          <w:rPr>
            <w:rStyle w:val="Lienhypertexte"/>
          </w:rPr>
          <w:t>F210.X003</w:t>
        </w:r>
      </w:hyperlink>
      <w:r w:rsidR="00282E09" w:rsidRPr="00E74F4D">
        <w:t xml:space="preserve"> </w:t>
      </w:r>
      <w:r w:rsidR="00282E09">
        <w:t>- Lettre d’information de l’AMF</w:t>
      </w:r>
    </w:p>
    <w:p w:rsidR="00282E09" w:rsidRDefault="00282E09" w:rsidP="00282E09">
      <w:pPr>
        <w:tabs>
          <w:tab w:val="left" w:pos="1965"/>
        </w:tabs>
        <w:rPr>
          <w:b/>
          <w:bCs/>
        </w:rPr>
      </w:pPr>
    </w:p>
    <w:p w:rsidR="00282E09" w:rsidRDefault="00282E09" w:rsidP="00282E09">
      <w:pPr>
        <w:ind w:left="709"/>
      </w:pPr>
      <w:r>
        <w:t>AMF - Phase 2 SA</w:t>
      </w:r>
    </w:p>
    <w:p w:rsidR="00282E09" w:rsidRDefault="00AF58A5" w:rsidP="00282E09">
      <w:pPr>
        <w:ind w:left="2269" w:hanging="851"/>
      </w:pPr>
      <w:hyperlink r:id="rId40" w:history="1">
        <w:r w:rsidR="00282E09" w:rsidRPr="00522CB2">
          <w:rPr>
            <w:rStyle w:val="Lienhypertexte"/>
          </w:rPr>
          <w:t>F2</w:t>
        </w:r>
        <w:r w:rsidR="00282E09">
          <w:rPr>
            <w:rStyle w:val="Lienhypertexte"/>
          </w:rPr>
          <w:t>2</w:t>
        </w:r>
        <w:r w:rsidR="00282E09" w:rsidRPr="00522CB2">
          <w:rPr>
            <w:rStyle w:val="Lienhypertexte"/>
          </w:rPr>
          <w:t>0.X005</w:t>
        </w:r>
      </w:hyperlink>
      <w:r w:rsidR="00282E09" w:rsidRPr="00E74F4D">
        <w:t xml:space="preserve"> </w:t>
      </w:r>
      <w:r w:rsidR="00282E09">
        <w:t>- Information à l’AMF en application de l’article L. 621</w:t>
      </w:r>
      <w:r w:rsidR="00282E09">
        <w:noBreakHyphen/>
        <w:t>22 du Code monétaire et financier</w:t>
      </w:r>
    </w:p>
    <w:p w:rsidR="00282E09" w:rsidRPr="008A7076" w:rsidRDefault="00282E09" w:rsidP="00282E09">
      <w:pPr>
        <w:tabs>
          <w:tab w:val="left" w:pos="1965"/>
        </w:tabs>
        <w:rPr>
          <w:b/>
          <w:bCs/>
        </w:rPr>
      </w:pPr>
    </w:p>
    <w:p w:rsidR="00282E09" w:rsidRPr="00E74F4D" w:rsidRDefault="00282E09" w:rsidP="00282E09">
      <w:pPr>
        <w:ind w:left="709"/>
      </w:pPr>
      <w:r>
        <w:t>ACP - Phase 1</w:t>
      </w:r>
    </w:p>
    <w:p w:rsidR="00282E09" w:rsidRDefault="00AF58A5" w:rsidP="00282E09">
      <w:pPr>
        <w:ind w:left="2269" w:hanging="851"/>
      </w:pPr>
      <w:hyperlink r:id="rId41" w:history="1">
        <w:r w:rsidR="00282E09" w:rsidRPr="00522CB2">
          <w:rPr>
            <w:rStyle w:val="Lienhypertexte"/>
          </w:rPr>
          <w:t>F210.X004</w:t>
        </w:r>
      </w:hyperlink>
      <w:r w:rsidR="00282E09" w:rsidRPr="00E74F4D">
        <w:t xml:space="preserve"> </w:t>
      </w:r>
      <w:r w:rsidR="00282E09">
        <w:t>- Lettre d’envoi à l’ACP - secteur de la banque, des services de paiement et des services d’investissement, de la copie du courrier d’alerte phase 1</w:t>
      </w:r>
    </w:p>
    <w:p w:rsidR="00282E09" w:rsidRPr="00E74F4D" w:rsidRDefault="00AF58A5" w:rsidP="00282E09">
      <w:pPr>
        <w:ind w:left="2269" w:hanging="851"/>
      </w:pPr>
      <w:hyperlink r:id="rId42" w:history="1">
        <w:r w:rsidR="00282E09" w:rsidRPr="00522CB2">
          <w:rPr>
            <w:rStyle w:val="Lienhypertexte"/>
          </w:rPr>
          <w:t>F210.X005</w:t>
        </w:r>
      </w:hyperlink>
      <w:r w:rsidR="00282E09" w:rsidRPr="00E74F4D">
        <w:t xml:space="preserve"> </w:t>
      </w:r>
      <w:r w:rsidR="00282E09">
        <w:t>- Lettre d’information de l’ACP - secteur de la banque, des services de paiement et des services d’investissement</w:t>
      </w:r>
    </w:p>
    <w:p w:rsidR="00282E09" w:rsidRDefault="00AF58A5" w:rsidP="00282E09">
      <w:pPr>
        <w:ind w:left="2269" w:hanging="851"/>
      </w:pPr>
      <w:hyperlink r:id="rId43" w:history="1">
        <w:r w:rsidR="00282E09" w:rsidRPr="00522CB2">
          <w:rPr>
            <w:rStyle w:val="Lienhypertexte"/>
          </w:rPr>
          <w:t>F210.X007</w:t>
        </w:r>
      </w:hyperlink>
      <w:r w:rsidR="00282E09" w:rsidRPr="00E74F4D">
        <w:t xml:space="preserve"> </w:t>
      </w:r>
      <w:r w:rsidR="00282E09">
        <w:t>- Lettre d’information de l’organe central mentionné à l’article L. 511</w:t>
      </w:r>
      <w:r w:rsidR="00282E09">
        <w:noBreakHyphen/>
        <w:t>30 du Code monétaire et financier, faisant suite au courrier KE030</w:t>
      </w:r>
    </w:p>
    <w:p w:rsidR="00282E09" w:rsidRDefault="00AF58A5" w:rsidP="00282E09">
      <w:pPr>
        <w:ind w:left="2269" w:hanging="851"/>
      </w:pPr>
      <w:hyperlink r:id="rId44" w:history="1">
        <w:r w:rsidR="00282E09" w:rsidRPr="00522CB2">
          <w:rPr>
            <w:rStyle w:val="Lienhypertexte"/>
          </w:rPr>
          <w:t>F210.X008</w:t>
        </w:r>
      </w:hyperlink>
      <w:r w:rsidR="00282E09" w:rsidRPr="00E74F4D">
        <w:t xml:space="preserve"> </w:t>
      </w:r>
      <w:r w:rsidR="00282E09">
        <w:t>- SA : lettre d’envoi à l’ACP - secteur de l’assurance, de la copie du courrier d’alerte phase 1</w:t>
      </w:r>
    </w:p>
    <w:p w:rsidR="00282E09" w:rsidRDefault="00AF58A5" w:rsidP="00282E09">
      <w:pPr>
        <w:ind w:left="2269" w:hanging="851"/>
      </w:pPr>
      <w:hyperlink r:id="rId45" w:history="1">
        <w:r w:rsidR="00282E09" w:rsidRPr="00522CB2">
          <w:rPr>
            <w:rStyle w:val="Lienhypertexte"/>
          </w:rPr>
          <w:t>F210.X009</w:t>
        </w:r>
      </w:hyperlink>
      <w:r w:rsidR="00282E09" w:rsidRPr="00E74F4D">
        <w:t xml:space="preserve"> </w:t>
      </w:r>
      <w:r w:rsidR="00282E09">
        <w:t>- SA : lettre d’information à l’ACP - secteur de l’assurance</w:t>
      </w:r>
    </w:p>
    <w:p w:rsidR="00282E09" w:rsidRDefault="00282E09" w:rsidP="00282E09">
      <w:pPr>
        <w:tabs>
          <w:tab w:val="left" w:pos="1965"/>
        </w:tabs>
        <w:rPr>
          <w:b/>
          <w:bCs/>
        </w:rPr>
      </w:pPr>
    </w:p>
    <w:p w:rsidR="00282E09" w:rsidRDefault="00282E09">
      <w:pPr>
        <w:jc w:val="left"/>
        <w:rPr>
          <w:b/>
          <w:bCs/>
        </w:rPr>
      </w:pPr>
      <w:r>
        <w:rPr>
          <w:b/>
          <w:bCs/>
        </w:rPr>
        <w:br w:type="page"/>
      </w:r>
    </w:p>
    <w:p w:rsidR="00282E09" w:rsidRPr="008A7076" w:rsidRDefault="00282E09" w:rsidP="00282E09">
      <w:pPr>
        <w:tabs>
          <w:tab w:val="left" w:pos="1965"/>
        </w:tabs>
        <w:rPr>
          <w:b/>
          <w:bCs/>
        </w:rPr>
      </w:pPr>
    </w:p>
    <w:p w:rsidR="00282E09" w:rsidRDefault="00282E09" w:rsidP="00282E09">
      <w:pPr>
        <w:pStyle w:val="CACTitre2"/>
      </w:pPr>
      <w:bookmarkStart w:id="68" w:name="_3.3.3._DELITS_PROPRES"/>
      <w:bookmarkStart w:id="69" w:name="_Toc335388811"/>
      <w:bookmarkEnd w:id="68"/>
      <w:r>
        <w:t xml:space="preserve"> </w:t>
      </w:r>
      <w:bookmarkStart w:id="70" w:name="_Toc427855171"/>
      <w:bookmarkStart w:id="71" w:name="_Toc452385988"/>
      <w:r>
        <w:t>DELITS PROPRES A LA MISSION DU COMMISSAIRE AUX COMPTES AUPRES D’UNE SOCIETE DONT LES ACTIONS SONT ADMISES AUX NEGOCIATIONS SUR LES MARCHES REGLEMENTES – Fausse information, opérations d’initiés et manipulation de cours</w:t>
      </w:r>
      <w:bookmarkEnd w:id="69"/>
      <w:bookmarkEnd w:id="70"/>
      <w:bookmarkEnd w:id="71"/>
    </w:p>
    <w:p w:rsidR="00282E09" w:rsidRDefault="00282E09" w:rsidP="00282E09">
      <w:pPr>
        <w:rPr>
          <w:rStyle w:val="lev"/>
        </w:rPr>
      </w:pPr>
    </w:p>
    <w:p w:rsidR="00282E09" w:rsidRPr="00252117" w:rsidRDefault="00282E09" w:rsidP="00282E09">
      <w:pPr>
        <w:pStyle w:val="CACTitre3"/>
        <w:rPr>
          <w:rStyle w:val="lev"/>
        </w:rPr>
      </w:pPr>
      <w:bookmarkStart w:id="72" w:name="_Toc452385989"/>
      <w:r>
        <w:rPr>
          <w:rStyle w:val="lev"/>
        </w:rPr>
        <w:t>Textes de référence</w:t>
      </w:r>
      <w:bookmarkEnd w:id="72"/>
    </w:p>
    <w:p w:rsidR="00282E09" w:rsidRDefault="00282E09" w:rsidP="00282E09">
      <w:pPr>
        <w:rPr>
          <w:u w:val="single"/>
        </w:rPr>
      </w:pPr>
    </w:p>
    <w:p w:rsidR="00282E09" w:rsidRPr="00DB7459" w:rsidRDefault="00282E09" w:rsidP="00282E09">
      <w:pPr>
        <w:pStyle w:val="CACTitre4"/>
      </w:pPr>
      <w:r w:rsidRPr="00DB7459">
        <w:t>Fausse information</w:t>
      </w:r>
    </w:p>
    <w:p w:rsidR="00282E09" w:rsidRPr="008D2138" w:rsidRDefault="00282E09" w:rsidP="00282E09">
      <w:pPr>
        <w:rPr>
          <w:u w:val="single"/>
        </w:rPr>
      </w:pPr>
    </w:p>
    <w:p w:rsidR="00282E09" w:rsidRDefault="00282E09" w:rsidP="00282E09">
      <w:pPr>
        <w:pStyle w:val="Paragraphedeliste"/>
        <w:numPr>
          <w:ilvl w:val="0"/>
          <w:numId w:val="23"/>
        </w:numPr>
        <w:spacing w:before="60" w:after="60"/>
      </w:pPr>
      <w:r>
        <w:t>Manquement</w:t>
      </w:r>
    </w:p>
    <w:p w:rsidR="00282E09" w:rsidRDefault="00282E09" w:rsidP="00282E09">
      <w:pPr>
        <w:pStyle w:val="Paragraphedeliste"/>
        <w:numPr>
          <w:ilvl w:val="1"/>
          <w:numId w:val="23"/>
        </w:numPr>
        <w:spacing w:before="60" w:after="60"/>
      </w:pPr>
      <w:r>
        <w:t>Code monétaire et financier : articles L. 621-14 et L. 621-15.</w:t>
      </w:r>
    </w:p>
    <w:p w:rsidR="00282E09" w:rsidRDefault="00282E09" w:rsidP="00282E09">
      <w:pPr>
        <w:pStyle w:val="Paragraphedeliste"/>
        <w:numPr>
          <w:ilvl w:val="1"/>
          <w:numId w:val="23"/>
        </w:numPr>
        <w:spacing w:before="60" w:after="60"/>
      </w:pPr>
      <w:r>
        <w:t>Règlement général de l'AMF : article 632-1.</w:t>
      </w:r>
    </w:p>
    <w:p w:rsidR="00282E09" w:rsidRDefault="00282E09" w:rsidP="00282E09">
      <w:pPr>
        <w:pStyle w:val="Paragraphedeliste"/>
        <w:numPr>
          <w:ilvl w:val="0"/>
          <w:numId w:val="23"/>
        </w:numPr>
        <w:spacing w:before="60" w:after="60"/>
      </w:pPr>
      <w:r>
        <w:t>Délit</w:t>
      </w:r>
    </w:p>
    <w:p w:rsidR="00282E09" w:rsidRDefault="00282E09" w:rsidP="00282E09">
      <w:pPr>
        <w:pStyle w:val="Paragraphedeliste"/>
        <w:numPr>
          <w:ilvl w:val="1"/>
          <w:numId w:val="23"/>
        </w:numPr>
        <w:spacing w:before="60" w:after="60"/>
      </w:pPr>
      <w:r>
        <w:t>Code monétaire et financier : articles L. 465-2 et L. 465-3.</w:t>
      </w:r>
    </w:p>
    <w:p w:rsidR="00282E09" w:rsidRDefault="00282E09" w:rsidP="00282E09">
      <w:pPr>
        <w:rPr>
          <w:u w:val="single"/>
        </w:rPr>
      </w:pPr>
    </w:p>
    <w:p w:rsidR="00282E09" w:rsidRPr="00897DBB" w:rsidRDefault="00282E09" w:rsidP="00282E09">
      <w:pPr>
        <w:pStyle w:val="CACTitre4"/>
      </w:pPr>
      <w:r w:rsidRPr="00897DBB">
        <w:t>Opérations d'initiés</w:t>
      </w:r>
    </w:p>
    <w:p w:rsidR="00282E09" w:rsidRPr="008D2138" w:rsidRDefault="00282E09" w:rsidP="00282E09">
      <w:pPr>
        <w:rPr>
          <w:u w:val="single"/>
        </w:rPr>
      </w:pPr>
    </w:p>
    <w:p w:rsidR="00282E09" w:rsidRDefault="00282E09" w:rsidP="00282E09">
      <w:pPr>
        <w:pStyle w:val="Paragraphedeliste"/>
        <w:numPr>
          <w:ilvl w:val="0"/>
          <w:numId w:val="23"/>
        </w:numPr>
        <w:spacing w:before="60" w:after="60"/>
      </w:pPr>
      <w:r>
        <w:t>Manquement</w:t>
      </w:r>
    </w:p>
    <w:p w:rsidR="00282E09" w:rsidRDefault="00282E09" w:rsidP="00282E09">
      <w:pPr>
        <w:pStyle w:val="Paragraphedeliste"/>
        <w:numPr>
          <w:ilvl w:val="1"/>
          <w:numId w:val="23"/>
        </w:numPr>
        <w:spacing w:before="60" w:after="60"/>
      </w:pPr>
      <w:r>
        <w:t>Code monétaire et financier : articles L. 621-14 et L. 621-15.</w:t>
      </w:r>
    </w:p>
    <w:p w:rsidR="00282E09" w:rsidRDefault="00282E09" w:rsidP="00282E09">
      <w:pPr>
        <w:pStyle w:val="Paragraphedeliste"/>
        <w:numPr>
          <w:ilvl w:val="1"/>
          <w:numId w:val="23"/>
        </w:numPr>
        <w:spacing w:before="60" w:after="60"/>
      </w:pPr>
      <w:r>
        <w:t>Règlement général de l'AMF : articles 622-1 et 622-2.</w:t>
      </w:r>
    </w:p>
    <w:p w:rsidR="00282E09" w:rsidRDefault="00282E09" w:rsidP="00282E09">
      <w:pPr>
        <w:pStyle w:val="Paragraphedeliste"/>
        <w:numPr>
          <w:ilvl w:val="0"/>
          <w:numId w:val="23"/>
        </w:numPr>
        <w:spacing w:before="60" w:after="60"/>
      </w:pPr>
      <w:r>
        <w:t>Délit</w:t>
      </w:r>
    </w:p>
    <w:p w:rsidR="00282E09" w:rsidRDefault="00282E09" w:rsidP="00282E09">
      <w:pPr>
        <w:pStyle w:val="Paragraphedeliste"/>
        <w:numPr>
          <w:ilvl w:val="1"/>
          <w:numId w:val="23"/>
        </w:numPr>
        <w:spacing w:before="60" w:after="60"/>
      </w:pPr>
      <w:r>
        <w:t>Code monétaire et financier : articles L. 465-1 et L. 465-3.</w:t>
      </w:r>
    </w:p>
    <w:p w:rsidR="00282E09" w:rsidRDefault="00282E09" w:rsidP="00282E09">
      <w:pPr>
        <w:rPr>
          <w:u w:val="single"/>
        </w:rPr>
      </w:pPr>
    </w:p>
    <w:p w:rsidR="00282E09" w:rsidRPr="00897DBB" w:rsidRDefault="00282E09" w:rsidP="00282E09">
      <w:pPr>
        <w:pStyle w:val="CACTitre4"/>
      </w:pPr>
      <w:r w:rsidRPr="00897DBB">
        <w:t>Manipulation de cours</w:t>
      </w:r>
    </w:p>
    <w:p w:rsidR="00282E09" w:rsidRPr="00D006F4" w:rsidRDefault="00282E09" w:rsidP="00282E09">
      <w:pPr>
        <w:rPr>
          <w:u w:val="single"/>
        </w:rPr>
      </w:pPr>
    </w:p>
    <w:p w:rsidR="00282E09" w:rsidRDefault="00282E09" w:rsidP="00282E09">
      <w:pPr>
        <w:pStyle w:val="Paragraphedeliste"/>
        <w:numPr>
          <w:ilvl w:val="0"/>
          <w:numId w:val="23"/>
        </w:numPr>
        <w:spacing w:before="60" w:after="60"/>
      </w:pPr>
      <w:r>
        <w:t>Manquement</w:t>
      </w:r>
    </w:p>
    <w:p w:rsidR="00282E09" w:rsidRDefault="00282E09" w:rsidP="00282E09">
      <w:pPr>
        <w:pStyle w:val="Paragraphedeliste"/>
        <w:numPr>
          <w:ilvl w:val="1"/>
          <w:numId w:val="23"/>
        </w:numPr>
        <w:spacing w:before="60" w:after="60"/>
      </w:pPr>
      <w:r>
        <w:t>Code monétaire et financier : articles L. 621-14 et L. 621-15.</w:t>
      </w:r>
    </w:p>
    <w:p w:rsidR="00282E09" w:rsidRDefault="00282E09" w:rsidP="00282E09">
      <w:pPr>
        <w:pStyle w:val="Paragraphedeliste"/>
        <w:numPr>
          <w:ilvl w:val="1"/>
          <w:numId w:val="23"/>
        </w:numPr>
        <w:spacing w:before="60" w:after="60"/>
      </w:pPr>
      <w:r>
        <w:t>Règlement général de l'AMF : articles 631-1 à 631-4.</w:t>
      </w:r>
    </w:p>
    <w:p w:rsidR="00282E09" w:rsidRDefault="00282E09" w:rsidP="00282E09">
      <w:pPr>
        <w:pStyle w:val="Paragraphedeliste"/>
        <w:numPr>
          <w:ilvl w:val="0"/>
          <w:numId w:val="23"/>
        </w:numPr>
        <w:spacing w:before="60" w:after="60"/>
      </w:pPr>
      <w:r>
        <w:t>Délit (entrave du fonctionnement régulier d'un marché)</w:t>
      </w:r>
    </w:p>
    <w:p w:rsidR="00282E09" w:rsidRDefault="00282E09" w:rsidP="00282E09">
      <w:pPr>
        <w:pStyle w:val="Paragraphedeliste"/>
        <w:numPr>
          <w:ilvl w:val="1"/>
          <w:numId w:val="23"/>
        </w:numPr>
        <w:spacing w:before="60" w:after="60"/>
      </w:pPr>
      <w:r>
        <w:t>Code monétaire et financier : articles L. 465-2 et L. 465-3.</w:t>
      </w:r>
    </w:p>
    <w:p w:rsidR="00282E09" w:rsidRDefault="00282E09" w:rsidP="00282E09"/>
    <w:p w:rsidR="00282E09" w:rsidRPr="00252117" w:rsidRDefault="00282E09" w:rsidP="00282E09">
      <w:pPr>
        <w:pStyle w:val="CACTitre3"/>
        <w:rPr>
          <w:rStyle w:val="lev"/>
        </w:rPr>
      </w:pPr>
      <w:bookmarkStart w:id="73" w:name="_Toc452385990"/>
      <w:r>
        <w:rPr>
          <w:rStyle w:val="lev"/>
        </w:rPr>
        <w:t>Descriptif de l’obligation ou de la spécificité pour l’émetteur</w:t>
      </w:r>
      <w:bookmarkEnd w:id="73"/>
    </w:p>
    <w:p w:rsidR="00282E09" w:rsidRDefault="00282E09" w:rsidP="00282E09">
      <w:pPr>
        <w:rPr>
          <w:u w:val="single"/>
        </w:rPr>
      </w:pPr>
    </w:p>
    <w:p w:rsidR="00282E09" w:rsidRPr="00897DBB" w:rsidRDefault="00282E09" w:rsidP="00282E09">
      <w:pPr>
        <w:pStyle w:val="CACTitre4"/>
      </w:pPr>
      <w:r w:rsidRPr="00897DBB">
        <w:t>Obligations générales en matière de communication financière et de libre fonctionnement du marché</w:t>
      </w:r>
    </w:p>
    <w:p w:rsidR="00282E09" w:rsidRDefault="00282E09" w:rsidP="00282E09"/>
    <w:p w:rsidR="00282E09" w:rsidRDefault="00282E09" w:rsidP="00282E09">
      <w:r>
        <w:t>La publication de l'information par les sociétés dont les titres sont admis aux négociations sur un marché réglementé obéit à un dispositif légal et réglementaire strict visant à :</w:t>
      </w:r>
    </w:p>
    <w:p w:rsidR="00282E09" w:rsidRDefault="00282E09" w:rsidP="00282E09">
      <w:pPr>
        <w:pStyle w:val="Paragraphedeliste"/>
        <w:numPr>
          <w:ilvl w:val="0"/>
          <w:numId w:val="39"/>
        </w:numPr>
        <w:spacing w:before="60" w:after="60"/>
      </w:pPr>
      <w:r>
        <w:t>conduire les sociétés à diffuser auprès du public une information exacte, précise et sincère</w:t>
      </w:r>
    </w:p>
    <w:p w:rsidR="00282E09" w:rsidRDefault="00282E09" w:rsidP="00282E09">
      <w:pPr>
        <w:pStyle w:val="Paragraphedeliste"/>
        <w:numPr>
          <w:ilvl w:val="0"/>
          <w:numId w:val="39"/>
        </w:numPr>
        <w:spacing w:before="60" w:after="60"/>
      </w:pPr>
      <w:r>
        <w:t>rendre publique dès que possible toute information privilégiée, c'est-à-dire toute une information précise, non publique, qui, si elle était rendue publique serait susceptible d'avoir une influence sensible sur le cours des instruments financiers concernés. Dans certains cas, les émetteurs peuvent, sous leur propre responsabilité, différer la publication de cette information afin de ne pas porter atteinte à leurs intérêts légitimes, sous réserve :</w:t>
      </w:r>
    </w:p>
    <w:p w:rsidR="00282E09" w:rsidRDefault="00282E09" w:rsidP="00282E09">
      <w:pPr>
        <w:pStyle w:val="Paragraphedeliste"/>
        <w:numPr>
          <w:ilvl w:val="1"/>
          <w:numId w:val="39"/>
        </w:numPr>
        <w:spacing w:before="60" w:after="60"/>
      </w:pPr>
      <w:r>
        <w:t>que cette omission ne risque pas d'induire le public en erreur, et</w:t>
      </w:r>
    </w:p>
    <w:p w:rsidR="00282E09" w:rsidRDefault="00282E09" w:rsidP="00282E09">
      <w:pPr>
        <w:pStyle w:val="Paragraphedeliste"/>
        <w:numPr>
          <w:ilvl w:val="1"/>
          <w:numId w:val="39"/>
        </w:numPr>
        <w:spacing w:before="60" w:after="60"/>
      </w:pPr>
      <w:r>
        <w:t>que l'émetteur soit en mesure d'en assurer la confidentialité en contrôlant l'accès à cette dernière (cf. en ce sens l'article 223-2 du règlement général de l'AMF).</w:t>
      </w:r>
    </w:p>
    <w:p w:rsidR="00282E09" w:rsidRDefault="00282E09" w:rsidP="00282E09">
      <w:pPr>
        <w:pStyle w:val="Paragraphedeliste"/>
        <w:numPr>
          <w:ilvl w:val="0"/>
          <w:numId w:val="39"/>
        </w:numPr>
        <w:spacing w:before="60" w:after="60"/>
      </w:pPr>
      <w:r>
        <w:lastRenderedPageBreak/>
        <w:t>éviter la transmission ou l'utilisation d'une information privilégiée.</w:t>
      </w:r>
    </w:p>
    <w:p w:rsidR="00282E09" w:rsidRDefault="00282E09" w:rsidP="00282E09"/>
    <w:p w:rsidR="00282E09" w:rsidRDefault="00282E09" w:rsidP="00282E09">
      <w:r>
        <w:t>Par ailleurs, en matière de formation des cours, le principe est la libre confrontation de l'offre et de la demande. Toute personne qui, par une manœuvre, entraverait le fonctionnement régulier du marché, serait susceptible de faire l'objet de sanction administrative ou de sanction pénale pour manipulation de cours.</w:t>
      </w:r>
    </w:p>
    <w:p w:rsidR="00282E09" w:rsidRDefault="00282E09" w:rsidP="00282E09"/>
    <w:p w:rsidR="00282E09" w:rsidRDefault="00282E09" w:rsidP="00282E09">
      <w:r>
        <w:t xml:space="preserve">Le non-respect de ces principes est susceptible de faire l'objet des </w:t>
      </w:r>
      <w:r w:rsidRPr="00897DBB">
        <w:rPr>
          <w:b/>
        </w:rPr>
        <w:t>infractions</w:t>
      </w:r>
      <w:r>
        <w:t xml:space="preserve"> suivantes :</w:t>
      </w:r>
    </w:p>
    <w:p w:rsidR="00282E09" w:rsidRDefault="00282E09" w:rsidP="00282E09"/>
    <w:p w:rsidR="00282E09" w:rsidRPr="00897DBB" w:rsidRDefault="00282E09" w:rsidP="00282E09">
      <w:pPr>
        <w:pStyle w:val="CACTitre4"/>
      </w:pPr>
      <w:r w:rsidRPr="00897DBB">
        <w:t>Infractions</w:t>
      </w:r>
    </w:p>
    <w:p w:rsidR="00282E09" w:rsidRDefault="00282E09" w:rsidP="00282E09">
      <w:pPr>
        <w:rPr>
          <w:u w:val="single"/>
        </w:rPr>
      </w:pPr>
    </w:p>
    <w:p w:rsidR="00282E09" w:rsidRPr="00897DBB" w:rsidRDefault="00282E09" w:rsidP="00282E09">
      <w:pPr>
        <w:pStyle w:val="CACTitre5"/>
      </w:pPr>
      <w:r w:rsidRPr="00897DBB">
        <w:t>Fausse information</w:t>
      </w:r>
    </w:p>
    <w:p w:rsidR="00282E09" w:rsidRDefault="00282E09" w:rsidP="00282E09"/>
    <w:p w:rsidR="00282E09" w:rsidRDefault="00282E09" w:rsidP="00282E09">
      <w:r>
        <w:t>La publication d'une information inexacte, imprécise et trompeuse peut conduire l'AMF à prononcer une sanction administrative à l'encontre de toute personne à l'origine de ces manquements.</w:t>
      </w:r>
    </w:p>
    <w:p w:rsidR="00282E09" w:rsidRDefault="00282E09" w:rsidP="00282E09">
      <w:r>
        <w:t>Constitue un manquement à la bonne information du public (c'est à dire la publication d'une information exacte, précise et sincère) la communication ou la diffusion faite sciemment, des informations, quel que soit le support utilisé, qui donnent ou sont susceptibles de donner des indications inexactes, imprécises ou trompeuses sur des instruments financiers, y compris en répandant des rumeurs ou en diffusant des informations inexactes ou trompeuses, alors que cette personne savait ou aurait dû savoir que les informations étaient inexactes ou trompeuses.</w:t>
      </w:r>
    </w:p>
    <w:p w:rsidR="00282E09" w:rsidRDefault="00282E09" w:rsidP="00282E09">
      <w:r>
        <w:t>En outre, conformément aux dispositions du code monétaire et financier, le fait de répandre dans le public par des voies et moyens quelconques des informations fausses ou trompeuses sur les perspectives ou la situation d'un émetteur coté, constitue un délit susceptible de faire l'objet de sanctions pénales.</w:t>
      </w:r>
    </w:p>
    <w:p w:rsidR="00282E09" w:rsidRDefault="00282E09" w:rsidP="00282E09"/>
    <w:p w:rsidR="00282E09" w:rsidRPr="00897DBB" w:rsidRDefault="00282E09" w:rsidP="00282E09">
      <w:pPr>
        <w:pStyle w:val="CACTitre5"/>
      </w:pPr>
      <w:r w:rsidRPr="00897DBB">
        <w:t>Opérations d'initiés</w:t>
      </w:r>
    </w:p>
    <w:p w:rsidR="00282E09" w:rsidRDefault="00282E09" w:rsidP="00282E09"/>
    <w:p w:rsidR="00282E09" w:rsidRDefault="00282E09" w:rsidP="00282E09">
      <w:r>
        <w:t>Le règlement général de l'AMF définit des interdictions de principe pour toute personne :</w:t>
      </w:r>
    </w:p>
    <w:p w:rsidR="00282E09" w:rsidRDefault="00282E09" w:rsidP="00282E09">
      <w:pPr>
        <w:pStyle w:val="Paragraphedeliste"/>
        <w:numPr>
          <w:ilvl w:val="0"/>
          <w:numId w:val="40"/>
        </w:numPr>
        <w:spacing w:before="60" w:after="60"/>
      </w:pPr>
      <w:r>
        <w:t>utilisation d'une information privilégiée qu'elle détient en acquérant ou en cédant ou en tentant d'acquérir ou de céder pour son propre compte ou pour le compte d'autrui, soit directement ou indirectement, les instruments financiers auxquels se rapporte cette information ou les instruments financiers auxquels ces instruments sont liés,</w:t>
      </w:r>
    </w:p>
    <w:p w:rsidR="00282E09" w:rsidRDefault="00282E09" w:rsidP="00282E09">
      <w:pPr>
        <w:pStyle w:val="Paragraphedeliste"/>
        <w:numPr>
          <w:ilvl w:val="0"/>
          <w:numId w:val="40"/>
        </w:numPr>
        <w:spacing w:before="60" w:after="60"/>
      </w:pPr>
      <w:r>
        <w:t>communication de cette information à un tiers en dehors du cadre normal de son travail, sa profession ou ses fonctions,</w:t>
      </w:r>
    </w:p>
    <w:p w:rsidR="00282E09" w:rsidRDefault="00282E09" w:rsidP="00282E09">
      <w:pPr>
        <w:pStyle w:val="Paragraphedeliste"/>
        <w:numPr>
          <w:ilvl w:val="0"/>
          <w:numId w:val="40"/>
        </w:numPr>
        <w:spacing w:before="60" w:after="60"/>
      </w:pPr>
      <w:r>
        <w:t>recommander à une autre personne d'acquérir ou de céder, ou de faire acquérir ou de céder par une autre personne, les instruments auxquels se rapporte cette information ou les instruments financiers auxquels ces instruments sont liés.</w:t>
      </w:r>
    </w:p>
    <w:p w:rsidR="00282E09" w:rsidRDefault="00282E09" w:rsidP="00282E09">
      <w:r>
        <w:t>En outre, conformément aux dispositions du code monétaire et financier, le fait de réaliser ou de permettre de réaliser soit directement, soit par personne interposée, une ou plusieurs opérations avant que le public ait connaissance de ces informations est susceptible de faire l'objet de sanctions pénales.</w:t>
      </w:r>
    </w:p>
    <w:p w:rsidR="00282E09" w:rsidRDefault="00282E09" w:rsidP="00282E09"/>
    <w:p w:rsidR="00282E09" w:rsidRPr="00185F41" w:rsidRDefault="00282E09" w:rsidP="00282E09">
      <w:pPr>
        <w:pStyle w:val="CACTitre5"/>
      </w:pPr>
      <w:r w:rsidRPr="00185F41">
        <w:t>Manipulations de cours</w:t>
      </w:r>
    </w:p>
    <w:p w:rsidR="00282E09" w:rsidRDefault="00282E09" w:rsidP="00282E09"/>
    <w:p w:rsidR="00282E09" w:rsidRDefault="00282E09" w:rsidP="00282E09">
      <w:r>
        <w:t>Constitue une manipulation de cours :</w:t>
      </w:r>
    </w:p>
    <w:p w:rsidR="00282E09" w:rsidRDefault="00282E09" w:rsidP="00282E09"/>
    <w:p w:rsidR="00282E09" w:rsidRDefault="00282E09" w:rsidP="00282E09">
      <w:r>
        <w:t xml:space="preserve">1° </w:t>
      </w:r>
      <w:r w:rsidRPr="00185F41">
        <w:t>le fait d'effectuer des opérations ou d'émettre des ordres :</w:t>
      </w:r>
    </w:p>
    <w:p w:rsidR="00282E09" w:rsidRDefault="00282E09" w:rsidP="00282E09">
      <w:pPr>
        <w:ind w:left="709"/>
      </w:pPr>
      <w:r>
        <w:t>a) qui donnent ou sont susceptibles de donner des indications fausses ou trompeuses sur l'offre, la demande ou le cours d'instruments financiers ou ;</w:t>
      </w:r>
    </w:p>
    <w:p w:rsidR="00282E09" w:rsidRDefault="00282E09" w:rsidP="00282E09">
      <w:pPr>
        <w:ind w:left="709"/>
      </w:pPr>
      <w:r>
        <w:lastRenderedPageBreak/>
        <w:t>b) qui fixent, par l'action d'une ou de plusieurs personnes agissant de manière concertée, le cours d'un ou plusieurs instruments financiers à un niveau anormal ou artificiel, à moins que la personne ayant effectué les opérations ou émis les ordres établisse la légitimité des raisons de ces opérations ou de ces ordres et leur conformité aux pratiques de marché admises sur le marché réglementé concerné ;</w:t>
      </w:r>
    </w:p>
    <w:p w:rsidR="00282E09" w:rsidRDefault="00282E09" w:rsidP="00282E09"/>
    <w:p w:rsidR="00282E09" w:rsidRDefault="00282E09" w:rsidP="00282E09">
      <w:r>
        <w:t>2° le fait d'effectuer des opérations ou d'émettre des ordres qui recourent à des procédés donnant une image fictive de l'état du marché ou à toute autre forme de tromperie ou d'artifice.</w:t>
      </w:r>
    </w:p>
    <w:p w:rsidR="00282E09" w:rsidRDefault="00282E09" w:rsidP="00282E09"/>
    <w:p w:rsidR="00282E09" w:rsidRDefault="00282E09" w:rsidP="00282E09">
      <w:r>
        <w:t>En particulier, constituent des manipulations de cours :</w:t>
      </w:r>
    </w:p>
    <w:p w:rsidR="00282E09" w:rsidRDefault="00282E09" w:rsidP="00282E09"/>
    <w:p w:rsidR="00282E09" w:rsidRDefault="00282E09" w:rsidP="00282E09">
      <w:r>
        <w:t>a) le fait, pour une personne ou pour plusieurs personnes agissant de manière concertée, de s'assurer une position dominante sur le marché d'un instrument financier, avec pour effet la fixation directe ou indirecte des prix d'achat ou des prix de vente ou la création d'autres conditions de transaction inéquitables ;</w:t>
      </w:r>
    </w:p>
    <w:p w:rsidR="00282E09" w:rsidRDefault="00282E09" w:rsidP="00282E09"/>
    <w:p w:rsidR="00282E09" w:rsidRDefault="00282E09" w:rsidP="00282E09">
      <w:r>
        <w:t>b) le fait d'émettre au moment de l'ouverture ou de la clôture ou, le cas échéant lors du fixage, des ordres d'achat ou de vente d'instruments financiers du marché ayant pour objet d'entraver l'établissement du prix sur ce marché ou pour effet d'induire en erreur les investisseurs agissant sur la base des cours concernés.</w:t>
      </w:r>
    </w:p>
    <w:p w:rsidR="00282E09" w:rsidRDefault="00282E09" w:rsidP="00282E09"/>
    <w:p w:rsidR="00282E09" w:rsidRPr="00185F41" w:rsidRDefault="00282E09" w:rsidP="00282E09">
      <w:pPr>
        <w:pStyle w:val="CACTitre3"/>
      </w:pPr>
      <w:bookmarkStart w:id="74" w:name="_Toc452385991"/>
      <w:r w:rsidRPr="00185F41">
        <w:t>Sanctions applicables aux infractions développées ci</w:t>
      </w:r>
      <w:r>
        <w:t>-</w:t>
      </w:r>
      <w:r w:rsidRPr="00185F41">
        <w:t>dessus</w:t>
      </w:r>
      <w:bookmarkEnd w:id="74"/>
    </w:p>
    <w:p w:rsidR="00282E09" w:rsidRDefault="00282E09" w:rsidP="00282E09"/>
    <w:p w:rsidR="00282E09" w:rsidRPr="00185F41" w:rsidRDefault="00282E09" w:rsidP="00282E09">
      <w:pPr>
        <w:pStyle w:val="CACTitre4"/>
      </w:pPr>
      <w:r w:rsidRPr="00185F41">
        <w:t>Pour ce qui concerne les infractions au règlement général de l'AMF</w:t>
      </w:r>
    </w:p>
    <w:p w:rsidR="00282E09" w:rsidRDefault="00282E09" w:rsidP="00282E09"/>
    <w:p w:rsidR="00282E09" w:rsidRDefault="00282E09" w:rsidP="00282E09">
      <w:r>
        <w:t xml:space="preserve">Sanction pécuniaire dont le montant ne peut être </w:t>
      </w:r>
      <w:proofErr w:type="gramStart"/>
      <w:r>
        <w:t>supérieur</w:t>
      </w:r>
      <w:proofErr w:type="gramEnd"/>
      <w:r>
        <w:t xml:space="preserve"> à 100 millions d'euros ou au décuple du montant des profits éventuellement réalisés. Le montant de la sanction </w:t>
      </w:r>
      <w:r w:rsidRPr="00185F41">
        <w:t>est fixé en fonction de la gravité des manquements c</w:t>
      </w:r>
      <w:r>
        <w:t>ommis en relation avec les avan</w:t>
      </w:r>
      <w:r w:rsidRPr="00185F41">
        <w:t>tages ou les profits éventuellement tirés de ces manquements</w:t>
      </w:r>
      <w:r>
        <w:t>.</w:t>
      </w:r>
    </w:p>
    <w:p w:rsidR="00282E09" w:rsidRDefault="00282E09" w:rsidP="00282E09"/>
    <w:p w:rsidR="00282E09" w:rsidRDefault="00282E09" w:rsidP="00282E09">
      <w:pPr>
        <w:pStyle w:val="CACTitre4"/>
      </w:pPr>
      <w:r>
        <w:t>Pour ce qui concerne les délits</w:t>
      </w:r>
    </w:p>
    <w:p w:rsidR="00282E09" w:rsidRDefault="00282E09" w:rsidP="00282E09"/>
    <w:p w:rsidR="00282E09" w:rsidRPr="00185F41" w:rsidRDefault="00282E09" w:rsidP="00282E09">
      <w:pPr>
        <w:pStyle w:val="CACTitre5"/>
      </w:pPr>
      <w:r w:rsidRPr="00185F41">
        <w:t>Opérations d'initiés</w:t>
      </w:r>
    </w:p>
    <w:p w:rsidR="00282E09" w:rsidRDefault="00282E09" w:rsidP="00282E09"/>
    <w:p w:rsidR="00282E09" w:rsidRDefault="00282E09" w:rsidP="00282E09">
      <w:pPr>
        <w:pStyle w:val="Paragraphedeliste"/>
        <w:numPr>
          <w:ilvl w:val="0"/>
          <w:numId w:val="41"/>
        </w:numPr>
        <w:spacing w:before="60" w:after="60"/>
      </w:pPr>
      <w:r>
        <w:t>Pour les dirigeants et les personnes disposant d'informations privilégiées à l'occasion de l'exercice de leur profession ou de leur fonction :</w:t>
      </w:r>
    </w:p>
    <w:p w:rsidR="00282E09" w:rsidRDefault="00282E09" w:rsidP="00282E09">
      <w:pPr>
        <w:pStyle w:val="Paragraphedeliste"/>
        <w:numPr>
          <w:ilvl w:val="1"/>
          <w:numId w:val="41"/>
        </w:numPr>
        <w:spacing w:before="60" w:after="60"/>
      </w:pPr>
      <w:r>
        <w:t>Deux ans d'emprisonnement et une amende de 1,5 million d'euros, jusqu'à 10 fois le montant du profit réalisé pour la personne qui a réalisé ou a permis de réaliser soit directement, soit par personne interposée, une ou plusieurs opérations avant que le public ait connaissance de ces informations.</w:t>
      </w:r>
    </w:p>
    <w:p w:rsidR="00282E09" w:rsidRDefault="00282E09" w:rsidP="00282E09">
      <w:pPr>
        <w:pStyle w:val="Paragraphedeliste"/>
        <w:numPr>
          <w:ilvl w:val="1"/>
          <w:numId w:val="41"/>
        </w:numPr>
        <w:spacing w:before="60" w:after="60"/>
      </w:pPr>
      <w:r>
        <w:t>Un an d'emprisonnement et une amende de 150 000 euros pour la communication d'une information privilégiée à un tiers en dehors du cadre normal de sa profession ou de ses fonctions.</w:t>
      </w:r>
    </w:p>
    <w:p w:rsidR="00282E09" w:rsidRDefault="00282E09" w:rsidP="00282E09">
      <w:pPr>
        <w:pStyle w:val="Paragraphedeliste"/>
        <w:numPr>
          <w:ilvl w:val="0"/>
          <w:numId w:val="41"/>
        </w:numPr>
        <w:spacing w:before="60" w:after="60"/>
      </w:pPr>
      <w:r>
        <w:t>Pour toute autre personne :</w:t>
      </w:r>
    </w:p>
    <w:p w:rsidR="00282E09" w:rsidRDefault="00282E09" w:rsidP="00282E09">
      <w:pPr>
        <w:pStyle w:val="Paragraphedeliste"/>
        <w:numPr>
          <w:ilvl w:val="1"/>
          <w:numId w:val="41"/>
        </w:numPr>
        <w:spacing w:before="60" w:after="60"/>
      </w:pPr>
      <w:r>
        <w:t>Un an d'emprisonnement et une amende de 150 000 euros pour l'utilisation ou la communication d'une information privilégiée.</w:t>
      </w:r>
    </w:p>
    <w:p w:rsidR="00282E09" w:rsidRDefault="00282E09" w:rsidP="00282E09"/>
    <w:p w:rsidR="00282E09" w:rsidRPr="00185F41" w:rsidRDefault="00282E09" w:rsidP="00282E09">
      <w:pPr>
        <w:pStyle w:val="CACTitre5"/>
      </w:pPr>
      <w:r w:rsidRPr="00185F41">
        <w:t>Manipulations de cours</w:t>
      </w:r>
    </w:p>
    <w:p w:rsidR="00282E09" w:rsidRDefault="00282E09" w:rsidP="00282E09"/>
    <w:p w:rsidR="00282E09" w:rsidRDefault="00282E09" w:rsidP="00282E09">
      <w:r>
        <w:t xml:space="preserve">Deux ans d'emprisonnement et une amende de 1,5 million d'euros, jusqu'à 10 fois le montant du profit réalisé pour la personne qui a exercé ou a tenté d'exercer, directement ou par personne </w:t>
      </w:r>
      <w:r>
        <w:lastRenderedPageBreak/>
        <w:t>interposée, une manœuvre ayant pour objet d'entraver le fonctionnement régulier du marché réglementé en induisant autrui en erreur.</w:t>
      </w:r>
    </w:p>
    <w:p w:rsidR="00282E09" w:rsidRDefault="00282E09" w:rsidP="00282E09"/>
    <w:p w:rsidR="00282E09" w:rsidRPr="00185F41" w:rsidRDefault="00282E09" w:rsidP="00282E09">
      <w:pPr>
        <w:pStyle w:val="CACTitre5"/>
      </w:pPr>
      <w:r w:rsidRPr="00185F41">
        <w:t>Information fausse ou trompeuse</w:t>
      </w:r>
    </w:p>
    <w:p w:rsidR="00282E09" w:rsidRDefault="00282E09" w:rsidP="00282E09"/>
    <w:p w:rsidR="00282E09" w:rsidRDefault="00282E09" w:rsidP="00282E09">
      <w:r>
        <w:t>Deux ans d'emprisonnement et une amende de 1,5 million d'euros, jusqu'à 10 fois le montant du profit réalisé pour la personne qui répand dans le public par des voies et moyens quelconques des informations fausses ou trompeuses sur les perspectives ou la situation d'un émetteur coté.</w:t>
      </w:r>
    </w:p>
    <w:p w:rsidR="00282E09" w:rsidRDefault="00282E09" w:rsidP="00282E09"/>
    <w:p w:rsidR="00282E09" w:rsidRPr="00252117" w:rsidRDefault="00282E09" w:rsidP="00282E09">
      <w:pPr>
        <w:pStyle w:val="CACTitre3"/>
        <w:rPr>
          <w:rStyle w:val="lev"/>
        </w:rPr>
      </w:pPr>
      <w:bookmarkStart w:id="75" w:name="_Toc452385992"/>
      <w:r>
        <w:rPr>
          <w:rStyle w:val="lev"/>
        </w:rPr>
        <w:t>Descriptif de l’obligation ou de la spécificité pour le(s) commissaire(s) aux comptes / points pour attention</w:t>
      </w:r>
      <w:bookmarkEnd w:id="75"/>
    </w:p>
    <w:p w:rsidR="00282E09" w:rsidRDefault="00282E09" w:rsidP="00282E09"/>
    <w:p w:rsidR="00282E09" w:rsidRDefault="00282E09" w:rsidP="00282E09">
      <w:r w:rsidRPr="00185F41">
        <w:t xml:space="preserve">À côté des </w:t>
      </w:r>
      <w:r w:rsidRPr="00117FDF">
        <w:rPr>
          <w:b/>
        </w:rPr>
        <w:t>infractions de droit commun</w:t>
      </w:r>
      <w:r w:rsidRPr="00185F41">
        <w:t xml:space="preserve"> que peuven</w:t>
      </w:r>
      <w:r>
        <w:t>t commettre ou tenter de commet</w:t>
      </w:r>
      <w:r w:rsidRPr="00185F41">
        <w:t xml:space="preserve">tre les commissaires aux comptes ou les sociétés de commissaires aux comptes, tels les délits </w:t>
      </w:r>
      <w:r w:rsidRPr="00117FDF">
        <w:rPr>
          <w:b/>
        </w:rPr>
        <w:t>d'escroquerie, d'abus de confiance, de vol, de faux ou usage de faux</w:t>
      </w:r>
      <w:r w:rsidRPr="00185F41">
        <w:t xml:space="preserve"> ou bien encore les </w:t>
      </w:r>
      <w:r w:rsidRPr="00117FDF">
        <w:rPr>
          <w:b/>
        </w:rPr>
        <w:t>délits propres aux dirigeants sociaux</w:t>
      </w:r>
      <w:r w:rsidRPr="00185F41">
        <w:t xml:space="preserve"> (abus de biens sociaux, présentation de comptes inexacts, distribution de dividendes fictifs) desquels ils peuvent se rendre</w:t>
      </w:r>
      <w:r>
        <w:t xml:space="preserve"> complices, les commissaires aux comptes peuvent avoir à connaître dans le cadre de l'exercice de leur fonction, des manquements ou délits boursiers.</w:t>
      </w:r>
    </w:p>
    <w:p w:rsidR="00282E09" w:rsidRDefault="00282E09" w:rsidP="00282E09"/>
    <w:p w:rsidR="00282E09" w:rsidRPr="00117FDF" w:rsidRDefault="00282E09" w:rsidP="00282E09">
      <w:pPr>
        <w:pStyle w:val="CACTitre4"/>
      </w:pPr>
      <w:r w:rsidRPr="00117FDF">
        <w:t>Fausse information</w:t>
      </w:r>
    </w:p>
    <w:p w:rsidR="00282E09" w:rsidRDefault="00282E09" w:rsidP="00282E09"/>
    <w:p w:rsidR="00282E09" w:rsidRDefault="00282E09" w:rsidP="00282E09">
      <w:r>
        <w:t>Les commissaires aux comptes, les sociétés de commissaires aux comptes et, le cas échéant, leurs collaborateurs peuvent être tout particulièrement concernés suite à une certification ou à un examen limité des comptes ne donnant pas une image fidèle ou encore à l'occasion de la publication par un émetteur d'une information.</w:t>
      </w:r>
    </w:p>
    <w:p w:rsidR="00282E09" w:rsidRDefault="00282E09" w:rsidP="00282E09"/>
    <w:p w:rsidR="00282E09" w:rsidRPr="00117FDF" w:rsidRDefault="00282E09" w:rsidP="00282E09">
      <w:pPr>
        <w:pStyle w:val="CACTitre4"/>
      </w:pPr>
      <w:r w:rsidRPr="00117FDF">
        <w:t>Opérations d'initiés</w:t>
      </w:r>
    </w:p>
    <w:p w:rsidR="00282E09" w:rsidRDefault="00282E09" w:rsidP="00282E09"/>
    <w:p w:rsidR="00282E09" w:rsidRDefault="00282E09" w:rsidP="00282E09">
      <w:r>
        <w:t>Les commissaires aux comptes et leurs collaborateurs qui disposent à l'occasion de l'exercice de leur profession d'informations privilégiées peuvent commettre des manquements ou des délits d'initiés.</w:t>
      </w:r>
    </w:p>
    <w:p w:rsidR="00282E09" w:rsidRDefault="00282E09" w:rsidP="00282E09"/>
    <w:p w:rsidR="00282E09" w:rsidRPr="00117FDF" w:rsidRDefault="00282E09" w:rsidP="00282E09">
      <w:pPr>
        <w:pStyle w:val="CACTitre4"/>
      </w:pPr>
      <w:r w:rsidRPr="00117FDF">
        <w:t>Manipulations de cours</w:t>
      </w:r>
    </w:p>
    <w:p w:rsidR="00282E09" w:rsidRDefault="00282E09" w:rsidP="00282E09"/>
    <w:p w:rsidR="00282E09" w:rsidRDefault="00282E09" w:rsidP="00282E09">
      <w:r>
        <w:t>Les commissaires aux comptes peuvent avoir connaissance, dans le cadre de l'exercice de leur mission, de manœuvres ayant pour objet d'entraver le fonctionnement régulier du marché ou être à l'origine de ces infractions.</w:t>
      </w:r>
    </w:p>
    <w:p w:rsidR="00282E09" w:rsidRDefault="00282E09" w:rsidP="00282E09">
      <w:r>
        <w:t>Les sanctions applicables sont les mêmes que celles applicables aux émetteurs</w:t>
      </w:r>
    </w:p>
    <w:p w:rsidR="00282E09" w:rsidRDefault="00282E09" w:rsidP="00282E09">
      <w:pPr>
        <w:tabs>
          <w:tab w:val="left" w:pos="1965"/>
        </w:tabs>
      </w:pPr>
    </w:p>
    <w:p w:rsidR="00282E09" w:rsidRPr="00BA33C3" w:rsidRDefault="00282E09" w:rsidP="00282E09">
      <w:pPr>
        <w:pStyle w:val="CACTitre3"/>
        <w:rPr>
          <w:rStyle w:val="lev"/>
        </w:rPr>
      </w:pPr>
      <w:bookmarkStart w:id="76" w:name="_Toc452385993"/>
      <w:r>
        <w:rPr>
          <w:rStyle w:val="lev"/>
        </w:rPr>
        <w:t>Outils disponibles</w:t>
      </w:r>
      <w:bookmarkEnd w:id="76"/>
    </w:p>
    <w:p w:rsidR="00282E09" w:rsidRDefault="00282E09" w:rsidP="00282E09"/>
    <w:p w:rsidR="00282E09" w:rsidRDefault="00282E09" w:rsidP="00282E09">
      <w:r w:rsidRPr="000955F8">
        <w:t>Étude juridique de la CNCC : La responsabilité pénale des commissaires aux comptes (juin 2008).</w:t>
      </w:r>
    </w:p>
    <w:p w:rsidR="00282E09" w:rsidRDefault="00282E09" w:rsidP="00282E09">
      <w:bookmarkStart w:id="77" w:name="_Toc335388812"/>
    </w:p>
    <w:p w:rsidR="00282E09" w:rsidRDefault="00282E09" w:rsidP="00282E09">
      <w:pPr>
        <w:pStyle w:val="CACTitre2"/>
      </w:pPr>
      <w:bookmarkStart w:id="78" w:name="_Toc427855172"/>
      <w:bookmarkStart w:id="79" w:name="_Toc452385994"/>
      <w:r>
        <w:t>LISTE D’INITIES</w:t>
      </w:r>
      <w:bookmarkEnd w:id="77"/>
      <w:bookmarkEnd w:id="78"/>
      <w:bookmarkEnd w:id="79"/>
    </w:p>
    <w:p w:rsidR="00282E09" w:rsidRDefault="00282E09" w:rsidP="00282E09">
      <w:pPr>
        <w:tabs>
          <w:tab w:val="left" w:pos="1965"/>
        </w:tabs>
        <w:rPr>
          <w:b/>
        </w:rPr>
      </w:pPr>
    </w:p>
    <w:p w:rsidR="00282E09" w:rsidRPr="00A33FBE" w:rsidRDefault="00282E09" w:rsidP="00282E09">
      <w:pPr>
        <w:pStyle w:val="CACTitre3"/>
      </w:pPr>
      <w:bookmarkStart w:id="80" w:name="_Toc452385995"/>
      <w:r w:rsidRPr="00A33FBE">
        <w:t>Textes de référence</w:t>
      </w:r>
      <w:bookmarkEnd w:id="80"/>
    </w:p>
    <w:p w:rsidR="00282E09" w:rsidRDefault="00282E09" w:rsidP="00282E09"/>
    <w:p w:rsidR="00282E09" w:rsidRDefault="00282E09" w:rsidP="00282E09">
      <w:pPr>
        <w:pStyle w:val="Paragraphedeliste"/>
        <w:numPr>
          <w:ilvl w:val="0"/>
          <w:numId w:val="41"/>
        </w:numPr>
        <w:spacing w:before="60" w:after="60"/>
      </w:pPr>
      <w:r>
        <w:t>Code monétaire et financier : article L. 621-18-4.</w:t>
      </w:r>
    </w:p>
    <w:p w:rsidR="00282E09" w:rsidRDefault="00282E09" w:rsidP="00282E09">
      <w:pPr>
        <w:pStyle w:val="Paragraphedeliste"/>
        <w:numPr>
          <w:ilvl w:val="0"/>
          <w:numId w:val="41"/>
        </w:numPr>
        <w:spacing w:before="60" w:after="60"/>
      </w:pPr>
      <w:r>
        <w:t>Règlement général de l'AMF : articles 223-27 à 223-31</w:t>
      </w:r>
    </w:p>
    <w:p w:rsidR="00282E09" w:rsidRDefault="00282E09" w:rsidP="00282E09">
      <w:pPr>
        <w:tabs>
          <w:tab w:val="left" w:pos="1965"/>
        </w:tabs>
      </w:pPr>
    </w:p>
    <w:p w:rsidR="00282E09" w:rsidRPr="00A33FBE" w:rsidRDefault="00282E09" w:rsidP="00282E09">
      <w:pPr>
        <w:pStyle w:val="CACTitre3"/>
      </w:pPr>
      <w:bookmarkStart w:id="81" w:name="_Toc452385996"/>
      <w:r w:rsidRPr="00A33FBE">
        <w:lastRenderedPageBreak/>
        <w:t>Descriptif de l’obligation ou de la spécificité pour l’émetteur</w:t>
      </w:r>
      <w:bookmarkEnd w:id="81"/>
    </w:p>
    <w:p w:rsidR="00282E09" w:rsidRDefault="00282E09" w:rsidP="00282E09">
      <w:pPr>
        <w:tabs>
          <w:tab w:val="left" w:pos="1965"/>
        </w:tabs>
        <w:rPr>
          <w:b/>
        </w:rPr>
      </w:pPr>
    </w:p>
    <w:p w:rsidR="00282E09" w:rsidRDefault="00282E09" w:rsidP="00282E09">
      <w:pPr>
        <w:tabs>
          <w:tab w:val="left" w:pos="1965"/>
        </w:tabs>
      </w:pPr>
      <w:r w:rsidRPr="00A33FBE">
        <w:rPr>
          <w:b/>
        </w:rPr>
        <w:t>Tout émetteur dont les instruments financiers sont admis aux négociations sur un marché réglementé</w:t>
      </w:r>
      <w:r>
        <w:t xml:space="preserve">, ou pour lesquels une demande d'admission aux négociations sur un tel marché a été présentée, </w:t>
      </w:r>
      <w:r w:rsidRPr="00A33FBE">
        <w:rPr>
          <w:b/>
        </w:rPr>
        <w:t>établit, met à jour et tient à la disposition de l'AMF</w:t>
      </w:r>
      <w:r>
        <w:t xml:space="preserve">, dans les conditions prévues par le règlement général de cette dernière, </w:t>
      </w:r>
      <w:r w:rsidRPr="00A33FBE">
        <w:rPr>
          <w:b/>
        </w:rPr>
        <w:t>une liste des personnes travaillant en son sein et ayant accès aux informations privilégiées</w:t>
      </w:r>
      <w:r>
        <w:t xml:space="preserve"> concernant directement ou indirectement cet émetteur </w:t>
      </w:r>
      <w:r w:rsidRPr="00A33FBE">
        <w:rPr>
          <w:b/>
        </w:rPr>
        <w:t>ainsi que des tiers agissant en son nom ou pour son compte ayant accès à ces informations</w:t>
      </w:r>
      <w:r>
        <w:t xml:space="preserve"> dans le cadre de leurs relations professionnelles avec ce dernier.</w:t>
      </w:r>
    </w:p>
    <w:p w:rsidR="00282E09" w:rsidRDefault="00282E09" w:rsidP="00282E09">
      <w:pPr>
        <w:tabs>
          <w:tab w:val="left" w:pos="1965"/>
        </w:tabs>
      </w:pPr>
    </w:p>
    <w:p w:rsidR="00282E09" w:rsidRDefault="00282E09" w:rsidP="00282E09">
      <w:pPr>
        <w:tabs>
          <w:tab w:val="left" w:pos="1965"/>
        </w:tabs>
      </w:pPr>
      <w:r>
        <w:t xml:space="preserve">Dans les mêmes conditions, </w:t>
      </w:r>
      <w:r w:rsidRPr="00A33FBE">
        <w:rPr>
          <w:b/>
        </w:rPr>
        <w:t>ces tiers établissent, mettent à jour et tiennent à la disposition de l'AMF une liste des personnes travaillant en leur sein et ayant accès aux informations privilégiées</w:t>
      </w:r>
      <w:r>
        <w:t xml:space="preserve"> concernant directement ou indirectement l'émetteur, </w:t>
      </w:r>
      <w:r w:rsidRPr="00A33FBE">
        <w:rPr>
          <w:b/>
        </w:rPr>
        <w:t>ainsi que des tiers agissant en leur nom ou pour leur compte ayant accès aux mêmes informations</w:t>
      </w:r>
      <w:r>
        <w:t xml:space="preserve"> dans le cadre de leurs relations professionnelles avec eux.</w:t>
      </w:r>
    </w:p>
    <w:p w:rsidR="00282E09" w:rsidRDefault="00282E09" w:rsidP="00282E09">
      <w:pPr>
        <w:tabs>
          <w:tab w:val="left" w:pos="1965"/>
        </w:tabs>
      </w:pPr>
    </w:p>
    <w:p w:rsidR="00282E09" w:rsidRDefault="00282E09" w:rsidP="00282E09">
      <w:pPr>
        <w:tabs>
          <w:tab w:val="left" w:pos="1965"/>
        </w:tabs>
      </w:pPr>
      <w:r w:rsidRPr="00A33FBE">
        <w:rPr>
          <w:b/>
        </w:rPr>
        <w:t>Ces listes sont conservées pendant au moins cinq ans</w:t>
      </w:r>
      <w:r>
        <w:t xml:space="preserve"> après leur établissement ou leur mise à jour.</w:t>
      </w:r>
    </w:p>
    <w:p w:rsidR="00282E09" w:rsidRDefault="00282E09" w:rsidP="00282E09">
      <w:pPr>
        <w:tabs>
          <w:tab w:val="left" w:pos="1965"/>
        </w:tabs>
      </w:pPr>
    </w:p>
    <w:p w:rsidR="00282E09" w:rsidRDefault="00282E09" w:rsidP="00282E09">
      <w:pPr>
        <w:tabs>
          <w:tab w:val="left" w:pos="1965"/>
        </w:tabs>
      </w:pPr>
      <w:r>
        <w:t>L'émetteur et les tiers informent les personnes de leur inscription sur la liste d'initiés ainsi que des règles applicables à la détention, la communication et à l'exploitation d'une information privilégiée (</w:t>
      </w:r>
      <w:r w:rsidRPr="00C41466">
        <w:t xml:space="preserve">cf. </w:t>
      </w:r>
      <w:r>
        <w:t xml:space="preserve">§ </w:t>
      </w:r>
      <w:r w:rsidRPr="00C41466">
        <w:t>3.3</w:t>
      </w:r>
      <w:r>
        <w:t xml:space="preserve"> de la section 300 de ce chapitre)</w:t>
      </w:r>
    </w:p>
    <w:p w:rsidR="00282E09" w:rsidRDefault="00282E09" w:rsidP="00282E09">
      <w:pPr>
        <w:tabs>
          <w:tab w:val="left" w:pos="1965"/>
        </w:tabs>
      </w:pPr>
    </w:p>
    <w:p w:rsidR="00282E09" w:rsidRPr="00A33FBE" w:rsidRDefault="00282E09" w:rsidP="00282E09">
      <w:pPr>
        <w:pStyle w:val="CACTitre3"/>
      </w:pPr>
      <w:bookmarkStart w:id="82" w:name="_Toc452385997"/>
      <w:r w:rsidRPr="00A33FBE">
        <w:t>Descriptif de l’obligation ou de la spécificité pour le(s) commissaire(s) aux comptes / points pour attention</w:t>
      </w:r>
      <w:bookmarkEnd w:id="82"/>
    </w:p>
    <w:p w:rsidR="00282E09" w:rsidRDefault="00282E09" w:rsidP="00282E09">
      <w:pPr>
        <w:tabs>
          <w:tab w:val="left" w:pos="1965"/>
        </w:tabs>
      </w:pPr>
    </w:p>
    <w:p w:rsidR="00282E09" w:rsidRDefault="00282E09" w:rsidP="00282E09">
      <w:pPr>
        <w:tabs>
          <w:tab w:val="left" w:pos="1965"/>
        </w:tabs>
      </w:pPr>
      <w:r w:rsidRPr="00A33FBE">
        <w:t>Les commissaires aux comptes intervenant dans le cadr</w:t>
      </w:r>
      <w:r>
        <w:t>e de leur mission légale confor</w:t>
      </w:r>
      <w:r w:rsidRPr="00A33FBE">
        <w:t>mément aux articles L. 823-9 et suivants du code de commerce ne sont pas assujettis à ce dispositif. Cette mission leur ayant été conférée par la loi dans l'intérêt public, les commissaires aux comptes ne sont pas en effet réputés agir dans ce cadre « pour le compte de l'émetteur ».</w:t>
      </w:r>
    </w:p>
    <w:p w:rsidR="00282E09" w:rsidRDefault="00282E09" w:rsidP="00282E09">
      <w:pPr>
        <w:tabs>
          <w:tab w:val="left" w:pos="1965"/>
        </w:tabs>
      </w:pPr>
    </w:p>
    <w:p w:rsidR="00282E09" w:rsidRDefault="00282E09" w:rsidP="00282E09">
      <w:pPr>
        <w:tabs>
          <w:tab w:val="left" w:pos="1965"/>
        </w:tabs>
      </w:pPr>
      <w:r w:rsidRPr="00A33FBE">
        <w:t>Les missions de nature contractuelle demeurent en revanche dans le champ d'application du régime des listes d'initiés. Ainsi, lorsque des DDL sont confiées à un commissaire aux comptes, l'émetteur doit mentionner, sur sa liste permanente, le nom de la personne morale au sein de laquelle le commissaire aux comptes, personne physique, exerce ses fonctions. Le cabinet de commissariat aux comptes devra, pour sa part, établir sa propre liste dans laquelle il mentionnera notamment le nom des commissaires aux comptes, des collaborateurs en charge de ces missions, ainsi que des experts extérieurs auxquels il a éventuellement fait appel pour l'exécution de ces travaux.</w:t>
      </w:r>
    </w:p>
    <w:p w:rsidR="00282E09" w:rsidRDefault="00282E09" w:rsidP="00282E09">
      <w:pPr>
        <w:tabs>
          <w:tab w:val="left" w:pos="1965"/>
        </w:tabs>
      </w:pPr>
    </w:p>
    <w:p w:rsidR="00282E09" w:rsidRPr="00A33FBE" w:rsidRDefault="00282E09" w:rsidP="00282E09">
      <w:pPr>
        <w:pStyle w:val="CACTitre3"/>
      </w:pPr>
      <w:bookmarkStart w:id="83" w:name="_Toc452385998"/>
      <w:r w:rsidRPr="00A33FBE">
        <w:t>Outils disponibles</w:t>
      </w:r>
      <w:bookmarkEnd w:id="83"/>
    </w:p>
    <w:p w:rsidR="00282E09" w:rsidRDefault="00282E09" w:rsidP="00282E09">
      <w:pPr>
        <w:tabs>
          <w:tab w:val="left" w:pos="1965"/>
        </w:tabs>
      </w:pPr>
    </w:p>
    <w:p w:rsidR="00282E09" w:rsidRDefault="00AF58A5" w:rsidP="00282E09">
      <w:pPr>
        <w:pStyle w:val="Paragraphedeliste"/>
        <w:numPr>
          <w:ilvl w:val="0"/>
          <w:numId w:val="42"/>
        </w:numPr>
        <w:tabs>
          <w:tab w:val="left" w:pos="1965"/>
        </w:tabs>
        <w:spacing w:before="60" w:after="60"/>
      </w:pPr>
      <w:hyperlink r:id="rId46" w:history="1">
        <w:r w:rsidR="00282E09" w:rsidRPr="004F7D3B">
          <w:rPr>
            <w:rStyle w:val="Lienhypertexte"/>
          </w:rPr>
          <w:t>Recommandation AMF n° 2010-07</w:t>
        </w:r>
      </w:hyperlink>
      <w:r w:rsidR="00282E09">
        <w:t xml:space="preserve"> - Guide relatif à la prévention des manquements d’initiés imputables aux dirigeants des sociétés cotées - 3 novembre 2010</w:t>
      </w:r>
    </w:p>
    <w:p w:rsidR="00282E09" w:rsidRDefault="00AF58A5" w:rsidP="00282E09">
      <w:pPr>
        <w:pStyle w:val="Paragraphedeliste"/>
        <w:numPr>
          <w:ilvl w:val="0"/>
          <w:numId w:val="42"/>
        </w:numPr>
        <w:tabs>
          <w:tab w:val="left" w:pos="1965"/>
        </w:tabs>
        <w:spacing w:before="60" w:after="60"/>
      </w:pPr>
      <w:hyperlink r:id="rId47" w:history="1">
        <w:r w:rsidR="00282E09" w:rsidRPr="00D006F4">
          <w:rPr>
            <w:rStyle w:val="Lienhypertexte"/>
          </w:rPr>
          <w:t>Position de l'AMF relative à l'établissement des listes d'initiés - 18 janvier 2006 modifiée le 14 novembre 2007</w:t>
        </w:r>
      </w:hyperlink>
      <w:r w:rsidR="00282E09">
        <w:t>.</w:t>
      </w:r>
    </w:p>
    <w:p w:rsidR="00282E09" w:rsidRDefault="00282E09" w:rsidP="00282E09">
      <w:pPr>
        <w:pStyle w:val="Paragraphedeliste"/>
        <w:numPr>
          <w:ilvl w:val="0"/>
          <w:numId w:val="42"/>
        </w:numPr>
        <w:tabs>
          <w:tab w:val="left" w:pos="1965"/>
        </w:tabs>
        <w:spacing w:before="60" w:after="60"/>
      </w:pPr>
      <w:r w:rsidRPr="00C41466">
        <w:t>Directive Abus de marché - Liste d'initiés</w:t>
      </w:r>
      <w:r>
        <w:t xml:space="preserve"> : Guide pratique de mise en œuvre par les commissaires aux comptes (en cours de mise à jour) (Portail CNCC - Espace DMF).</w:t>
      </w:r>
    </w:p>
    <w:p w:rsidR="00282E09" w:rsidRDefault="00282E09" w:rsidP="00282E09">
      <w:pPr>
        <w:tabs>
          <w:tab w:val="left" w:pos="1965"/>
        </w:tabs>
      </w:pPr>
      <w:bookmarkStart w:id="84" w:name="_3.3.5._MARCHE_REGLEMENTE"/>
      <w:bookmarkStart w:id="85" w:name="_Toc335388813"/>
      <w:bookmarkEnd w:id="84"/>
    </w:p>
    <w:p w:rsidR="00282E09" w:rsidRDefault="00282E09">
      <w:pPr>
        <w:jc w:val="left"/>
      </w:pPr>
      <w:r>
        <w:br w:type="page"/>
      </w:r>
    </w:p>
    <w:p w:rsidR="00282E09" w:rsidRDefault="00282E09" w:rsidP="00282E09">
      <w:pPr>
        <w:tabs>
          <w:tab w:val="left" w:pos="1965"/>
        </w:tabs>
      </w:pPr>
    </w:p>
    <w:p w:rsidR="00282E09" w:rsidRDefault="00282E09" w:rsidP="00282E09">
      <w:pPr>
        <w:pStyle w:val="CACTitre2"/>
      </w:pPr>
      <w:r>
        <w:t xml:space="preserve"> </w:t>
      </w:r>
      <w:bookmarkStart w:id="86" w:name="_Toc427855173"/>
      <w:bookmarkStart w:id="87" w:name="_Toc452385999"/>
      <w:r>
        <w:t>MARCHE REGLEMENTE : COMPARTIMENT D’EURONEXT DESTINE AUX ADMISSIONS SANS OFFRE PREALABLE AU PUBLIC</w:t>
      </w:r>
      <w:bookmarkEnd w:id="85"/>
      <w:bookmarkEnd w:id="86"/>
      <w:bookmarkEnd w:id="87"/>
    </w:p>
    <w:p w:rsidR="00282E09" w:rsidRPr="004F7D3B" w:rsidRDefault="00282E09" w:rsidP="00282E09">
      <w:pPr>
        <w:tabs>
          <w:tab w:val="left" w:pos="1965"/>
        </w:tabs>
        <w:rPr>
          <w:b/>
          <w:bCs/>
        </w:rPr>
      </w:pPr>
    </w:p>
    <w:p w:rsidR="00282E09" w:rsidRPr="00252117" w:rsidRDefault="00282E09" w:rsidP="00282E09">
      <w:pPr>
        <w:pStyle w:val="CACTitre3"/>
        <w:rPr>
          <w:rStyle w:val="lev"/>
        </w:rPr>
      </w:pPr>
      <w:bookmarkStart w:id="88" w:name="_Toc452386000"/>
      <w:r>
        <w:rPr>
          <w:rStyle w:val="lev"/>
        </w:rPr>
        <w:t>Textes de référence</w:t>
      </w:r>
      <w:bookmarkEnd w:id="88"/>
    </w:p>
    <w:p w:rsidR="00282E09" w:rsidRPr="004F7D3B" w:rsidRDefault="00282E09" w:rsidP="00282E09">
      <w:pPr>
        <w:tabs>
          <w:tab w:val="left" w:pos="1965"/>
        </w:tabs>
        <w:rPr>
          <w:b/>
          <w:bCs/>
        </w:rPr>
      </w:pPr>
    </w:p>
    <w:p w:rsidR="00282E09" w:rsidRDefault="00AF58A5" w:rsidP="00282E09">
      <w:pPr>
        <w:pStyle w:val="Paragraphedeliste"/>
        <w:numPr>
          <w:ilvl w:val="0"/>
          <w:numId w:val="23"/>
        </w:numPr>
        <w:spacing w:before="60" w:after="60"/>
      </w:pPr>
      <w:hyperlink r:id="rId48" w:history="1">
        <w:r w:rsidR="00282E09" w:rsidRPr="00BE61C4">
          <w:rPr>
            <w:rStyle w:val="Lienhypertexte"/>
          </w:rPr>
          <w:t>Règlement gén</w:t>
        </w:r>
        <w:r w:rsidR="00282E09" w:rsidRPr="00BE61C4">
          <w:rPr>
            <w:rStyle w:val="Lienhypertexte"/>
          </w:rPr>
          <w:t>é</w:t>
        </w:r>
        <w:r w:rsidR="00282E09" w:rsidRPr="00BE61C4">
          <w:rPr>
            <w:rStyle w:val="Lienhypertexte"/>
          </w:rPr>
          <w:t>ral de l'AMF</w:t>
        </w:r>
      </w:hyperlink>
      <w:r w:rsidR="00282E09">
        <w:t xml:space="preserve"> : articles 212-5, 212-12, 212-14, 212-15, 212-16, 212¬36, 212-37, 516-18 et 516-19.</w:t>
      </w:r>
    </w:p>
    <w:p w:rsidR="00282E09" w:rsidRDefault="00AF58A5" w:rsidP="00282E09">
      <w:pPr>
        <w:pStyle w:val="Paragraphedeliste"/>
        <w:numPr>
          <w:ilvl w:val="0"/>
          <w:numId w:val="23"/>
        </w:numPr>
        <w:spacing w:before="60" w:after="60"/>
      </w:pPr>
      <w:hyperlink r:id="rId49" w:history="1">
        <w:r w:rsidR="00282E09" w:rsidRPr="00BE61C4">
          <w:rPr>
            <w:rStyle w:val="Lienhypertexte"/>
          </w:rPr>
          <w:t>Instruction AMF n° 2005-11 relative à l'information à diffuser en cas d'offre au public ou d'admission aux négociations de titres financiers sur un marché réglementé</w:t>
        </w:r>
      </w:hyperlink>
      <w:r w:rsidR="00282E09">
        <w:t>.</w:t>
      </w:r>
    </w:p>
    <w:p w:rsidR="00282E09" w:rsidRDefault="00282E09" w:rsidP="00282E09">
      <w:pPr>
        <w:rPr>
          <w:rStyle w:val="lev"/>
        </w:rPr>
      </w:pPr>
    </w:p>
    <w:p w:rsidR="00282E09" w:rsidRPr="00252117" w:rsidRDefault="00282E09" w:rsidP="00282E09">
      <w:pPr>
        <w:pStyle w:val="CACTitre3"/>
        <w:rPr>
          <w:rStyle w:val="lev"/>
        </w:rPr>
      </w:pPr>
      <w:bookmarkStart w:id="89" w:name="_Toc452386001"/>
      <w:r>
        <w:rPr>
          <w:rStyle w:val="lev"/>
        </w:rPr>
        <w:t>Descriptif de l’obligation ou de la spécificité pour l’émetteur</w:t>
      </w:r>
      <w:bookmarkEnd w:id="89"/>
    </w:p>
    <w:p w:rsidR="00282E09" w:rsidRDefault="00282E09" w:rsidP="00282E09"/>
    <w:p w:rsidR="00282E09" w:rsidRDefault="00282E09" w:rsidP="00282E09">
      <w:r>
        <w:t>Le compartiment destiné aux admissions sans offre préalable au public, réservé plus particulièrement aux investisseurs qualifiés, a été mis en place afin de faciliter l'admission de titres sur Euronext Paris d'émetteurs souhaitant procéder à une simple cotation sans levée de fonds préalable (s'agissant par exemple d'émetteurs déjà cotés sur leur marché d'origine) ou l'admission de titres suite à un placement privé auprès d'investisseurs qualifiés. Ne peuvent être admis à la cotation sur ce compartiment que les émetteurs n'ayant pas de titres de capital ou donnant accès au capital cotés sur Euronext Paris.</w:t>
      </w:r>
    </w:p>
    <w:p w:rsidR="00282E09" w:rsidRDefault="00282E09" w:rsidP="00282E09"/>
    <w:p w:rsidR="00282E09" w:rsidRDefault="00282E09" w:rsidP="00282E09">
      <w:r>
        <w:t>La réglementation applicable a été adaptée à la nature professionnelle des investisseurs. Si les dispositions législatives et réglementaires applicables aux émetteurs cotés sur un marché réglementé, telles qu'issues des directives Transparence, Prospectus ou Abus de marché, ou d'ordre comptable, sont applicables aux émetteurs cotés sur ce compartiment, ceux-ci sont en revanche dispensés de certaines obligations spécifiques prévues par le règlement général de l'AMF.</w:t>
      </w:r>
    </w:p>
    <w:p w:rsidR="00282E09" w:rsidRDefault="00282E09" w:rsidP="00282E09"/>
    <w:p w:rsidR="00282E09" w:rsidRDefault="00282E09" w:rsidP="00282E09">
      <w:r>
        <w:t>Ces dispenses sont les suivantes :</w:t>
      </w:r>
    </w:p>
    <w:p w:rsidR="00282E09" w:rsidRDefault="00282E09" w:rsidP="00282E09"/>
    <w:p w:rsidR="00282E09" w:rsidRDefault="00282E09" w:rsidP="00282E09">
      <w:r>
        <w:t>Concernant les conditions de réalisation de l'opération :</w:t>
      </w:r>
    </w:p>
    <w:p w:rsidR="00282E09" w:rsidRDefault="00282E09" w:rsidP="00282E09">
      <w:pPr>
        <w:pStyle w:val="Paragraphedeliste"/>
        <w:numPr>
          <w:ilvl w:val="0"/>
          <w:numId w:val="43"/>
        </w:numPr>
        <w:spacing w:before="60" w:after="60"/>
      </w:pPr>
      <w:r>
        <w:t>Dispense de production d'une lettre de fin de travaux,</w:t>
      </w:r>
    </w:p>
    <w:p w:rsidR="00282E09" w:rsidRDefault="00282E09" w:rsidP="00282E09">
      <w:pPr>
        <w:pStyle w:val="Paragraphedeliste"/>
        <w:numPr>
          <w:ilvl w:val="0"/>
          <w:numId w:val="43"/>
        </w:numPr>
        <w:spacing w:before="60" w:after="60"/>
      </w:pPr>
      <w:r>
        <w:t xml:space="preserve">Dispense d'attestation du prestataire de service d'investissement (« </w:t>
      </w:r>
      <w:r w:rsidRPr="0087083D">
        <w:rPr>
          <w:b/>
        </w:rPr>
        <w:t>PSI</w:t>
      </w:r>
      <w:r>
        <w:t xml:space="preserve"> »),</w:t>
      </w:r>
    </w:p>
    <w:p w:rsidR="00282E09" w:rsidRDefault="00282E09" w:rsidP="00282E09">
      <w:pPr>
        <w:pStyle w:val="Paragraphedeliste"/>
        <w:numPr>
          <w:ilvl w:val="0"/>
          <w:numId w:val="43"/>
        </w:numPr>
        <w:spacing w:before="60" w:after="60"/>
      </w:pPr>
      <w:r>
        <w:t>Dispense de traduction du résumé établi dans une langue usuelle en matière financière.</w:t>
      </w:r>
    </w:p>
    <w:p w:rsidR="00282E09" w:rsidRDefault="00282E09" w:rsidP="00282E09"/>
    <w:p w:rsidR="00282E09" w:rsidRDefault="00282E09" w:rsidP="00282E09">
      <w:r>
        <w:t>Concernant les obligations d'information périodique et permanente :</w:t>
      </w:r>
    </w:p>
    <w:p w:rsidR="00282E09" w:rsidRDefault="00282E09" w:rsidP="00282E09">
      <w:pPr>
        <w:pStyle w:val="Paragraphedeliste"/>
        <w:numPr>
          <w:ilvl w:val="0"/>
          <w:numId w:val="44"/>
        </w:numPr>
        <w:spacing w:before="60" w:after="60"/>
      </w:pPr>
      <w:r>
        <w:t>Dispense de publication des honoraires du commissaire aux comptes en application de l'article 222-8 du règlement général de l'AMF. Toutefois les dispositions du code de commerce sur la publication des honoraires restent applicables aux sociétés françaises.</w:t>
      </w:r>
    </w:p>
    <w:p w:rsidR="00282E09" w:rsidRDefault="00282E09" w:rsidP="00282E09">
      <w:pPr>
        <w:pStyle w:val="Paragraphedeliste"/>
        <w:numPr>
          <w:ilvl w:val="0"/>
          <w:numId w:val="44"/>
        </w:numPr>
        <w:spacing w:before="60" w:after="60"/>
      </w:pPr>
      <w:r>
        <w:t>Dispense d'établissement d'information financière pro forma dans le cadre de l'information périodique (en revanche, les dispositions du règlement européen sur les prospectus en matière de pro forma restent applicables).</w:t>
      </w:r>
    </w:p>
    <w:p w:rsidR="00282E09" w:rsidRDefault="00282E09" w:rsidP="00282E09"/>
    <w:p w:rsidR="00282E09" w:rsidRDefault="00282E09" w:rsidP="00282E09">
      <w:r>
        <w:t>Par ailleurs, ces émetteurs ont la possibilité de publier l'information réglementée dans une langue usuelle en matière financière.</w:t>
      </w:r>
    </w:p>
    <w:p w:rsidR="00282E09" w:rsidRDefault="00282E09" w:rsidP="00282E09">
      <w:r>
        <w:t>Enfin, les émetteurs bénéficient également d'allègements concernant le contenu du dossier devant être déposé à l'AMF dans le cadre de l'admission, ainsi que sur les modalités d'instruction du dossier par l'AMF.</w:t>
      </w:r>
    </w:p>
    <w:p w:rsidR="00282E09" w:rsidRDefault="00282E09" w:rsidP="00282E09"/>
    <w:p w:rsidR="00282E09" w:rsidRPr="00252117" w:rsidRDefault="00282E09" w:rsidP="00282E09">
      <w:pPr>
        <w:pStyle w:val="CACTitre3"/>
        <w:rPr>
          <w:rStyle w:val="lev"/>
        </w:rPr>
      </w:pPr>
      <w:bookmarkStart w:id="90" w:name="_Toc452386002"/>
      <w:r>
        <w:rPr>
          <w:rStyle w:val="lev"/>
        </w:rPr>
        <w:lastRenderedPageBreak/>
        <w:t>Descriptif de l’obligation ou de la spécificité pour le(s) commissaire(s) aux comptes / points pour attention</w:t>
      </w:r>
      <w:bookmarkEnd w:id="90"/>
    </w:p>
    <w:p w:rsidR="00282E09" w:rsidRDefault="00282E09" w:rsidP="00282E09"/>
    <w:p w:rsidR="00282E09" w:rsidRDefault="00282E09" w:rsidP="00282E09">
      <w:r>
        <w:t>Les textes dispensent les commissaires aux comptes de la mise en œuvre de diligences sur le prospectus établi dans le cadre d'une admission de titres financiers sur le compartiment réservé aux professionnels et par voie de conséquence de l'émission d'une lettre de fin de travaux.</w:t>
      </w:r>
    </w:p>
    <w:p w:rsidR="00282E09" w:rsidRDefault="00282E09" w:rsidP="00282E09"/>
    <w:p w:rsidR="00282E09" w:rsidRDefault="00282E09" w:rsidP="00282E09">
      <w:r>
        <w:t>De même, les commissaires aux comptes sont dispensés d'établir une lettre de fin de travaux matérialisant la vérification de la traduction des états financiers inclus dans le prospectus d'admission de titres sur le compartiment réservé aux professionnels.</w:t>
      </w:r>
    </w:p>
    <w:p w:rsidR="00282E09" w:rsidRDefault="00282E09" w:rsidP="00282E09">
      <w:pPr>
        <w:rPr>
          <w:rStyle w:val="lev"/>
        </w:rPr>
      </w:pPr>
    </w:p>
    <w:p w:rsidR="00282E09" w:rsidRPr="00BA33C3" w:rsidRDefault="00282E09" w:rsidP="00282E09">
      <w:pPr>
        <w:pStyle w:val="CACTitre3"/>
        <w:rPr>
          <w:rStyle w:val="lev"/>
        </w:rPr>
      </w:pPr>
      <w:bookmarkStart w:id="91" w:name="_Toc452386003"/>
      <w:r>
        <w:rPr>
          <w:rStyle w:val="lev"/>
        </w:rPr>
        <w:t>Outils disponibles</w:t>
      </w:r>
      <w:bookmarkEnd w:id="91"/>
    </w:p>
    <w:p w:rsidR="00282E09" w:rsidRPr="004F7D3B" w:rsidRDefault="00282E09" w:rsidP="00282E09">
      <w:pPr>
        <w:rPr>
          <w:rStyle w:val="lev"/>
        </w:rPr>
      </w:pPr>
    </w:p>
    <w:p w:rsidR="00282E09" w:rsidRDefault="00282E09" w:rsidP="00282E09">
      <w:pPr>
        <w:pStyle w:val="Paragraphedeliste"/>
        <w:numPr>
          <w:ilvl w:val="0"/>
          <w:numId w:val="45"/>
        </w:numPr>
        <w:spacing w:before="60" w:after="60"/>
      </w:pPr>
      <w:r>
        <w:t>Communiqué du 20 décembre 2007 de l'AMF relatif à la mise en place sur le marché réglementé d'un compartiment destiné aux admissions sans offre préalable au public.</w:t>
      </w:r>
    </w:p>
    <w:p w:rsidR="00282E09" w:rsidRDefault="00282E09" w:rsidP="00282E09">
      <w:pPr>
        <w:pStyle w:val="Paragraphedeliste"/>
        <w:numPr>
          <w:ilvl w:val="0"/>
          <w:numId w:val="45"/>
        </w:numPr>
        <w:spacing w:before="60" w:after="60"/>
      </w:pPr>
      <w:r>
        <w:t>Recommandation AMF du 20 janvier 2007 sur la communication financière par voie de presse écrite et la diffusion de l'information réglementée par les sociétés cotées sur un marché réglementé.</w:t>
      </w:r>
    </w:p>
    <w:p w:rsidR="00282E09" w:rsidRPr="004F7D3B" w:rsidRDefault="00282E09" w:rsidP="00282E09">
      <w:pPr>
        <w:rPr>
          <w:rStyle w:val="lev"/>
        </w:rPr>
      </w:pPr>
      <w:bookmarkStart w:id="92" w:name="_3.3.6._DIFFUSION_DE"/>
      <w:bookmarkStart w:id="93" w:name="_Toc335388814"/>
      <w:bookmarkEnd w:id="92"/>
    </w:p>
    <w:p w:rsidR="00282E09" w:rsidRDefault="00282E09" w:rsidP="00282E09">
      <w:pPr>
        <w:pStyle w:val="CACTitre2"/>
      </w:pPr>
      <w:bookmarkStart w:id="94" w:name="_Toc427855174"/>
      <w:bookmarkStart w:id="95" w:name="_Toc452386004"/>
      <w:r>
        <w:t>DIFFUSION DE L’INFORMATION REGLEMENTEE</w:t>
      </w:r>
      <w:bookmarkEnd w:id="93"/>
      <w:bookmarkEnd w:id="94"/>
      <w:bookmarkEnd w:id="95"/>
    </w:p>
    <w:p w:rsidR="00282E09" w:rsidRDefault="00282E09" w:rsidP="00282E09">
      <w:pPr>
        <w:rPr>
          <w:rStyle w:val="lev"/>
        </w:rPr>
      </w:pPr>
    </w:p>
    <w:p w:rsidR="00282E09" w:rsidRPr="00252117" w:rsidRDefault="00282E09" w:rsidP="00282E09">
      <w:pPr>
        <w:pStyle w:val="CACTitre3"/>
        <w:rPr>
          <w:rStyle w:val="lev"/>
        </w:rPr>
      </w:pPr>
      <w:bookmarkStart w:id="96" w:name="_Toc452386005"/>
      <w:r>
        <w:rPr>
          <w:rStyle w:val="lev"/>
        </w:rPr>
        <w:t>Textes de référence</w:t>
      </w:r>
      <w:bookmarkEnd w:id="96"/>
    </w:p>
    <w:p w:rsidR="00282E09" w:rsidRPr="004F7D3B" w:rsidRDefault="00282E09" w:rsidP="00282E09">
      <w:pPr>
        <w:rPr>
          <w:rStyle w:val="lev"/>
        </w:rPr>
      </w:pPr>
    </w:p>
    <w:p w:rsidR="00282E09" w:rsidRDefault="00AF58A5" w:rsidP="00282E09">
      <w:pPr>
        <w:pStyle w:val="Paragraphedeliste"/>
        <w:numPr>
          <w:ilvl w:val="0"/>
          <w:numId w:val="23"/>
        </w:numPr>
        <w:spacing w:before="60" w:after="60"/>
      </w:pPr>
      <w:hyperlink r:id="rId50" w:history="1">
        <w:r w:rsidR="00282E09" w:rsidRPr="00BE61C4">
          <w:rPr>
            <w:rStyle w:val="Lienhypertexte"/>
          </w:rPr>
          <w:t>Directive Transp</w:t>
        </w:r>
        <w:r w:rsidR="00282E09" w:rsidRPr="00BE61C4">
          <w:rPr>
            <w:rStyle w:val="Lienhypertexte"/>
          </w:rPr>
          <w:t>a</w:t>
        </w:r>
        <w:r w:rsidR="00282E09" w:rsidRPr="00BE61C4">
          <w:rPr>
            <w:rStyle w:val="Lienhypertexte"/>
          </w:rPr>
          <w:t>rence 2004/109/CE du 15 décembre 2004</w:t>
        </w:r>
      </w:hyperlink>
      <w:r w:rsidR="00282E09">
        <w:t xml:space="preserve"> sur l'harmonisation des obligations de transparence concernant l'information sur les émetteurs dont les valeurs mobilières sont admises à la négociation sur un marché réglementé.</w:t>
      </w:r>
    </w:p>
    <w:p w:rsidR="00282E09" w:rsidRDefault="00282E09" w:rsidP="00282E09">
      <w:pPr>
        <w:pStyle w:val="Paragraphedeliste"/>
        <w:numPr>
          <w:ilvl w:val="0"/>
          <w:numId w:val="23"/>
        </w:numPr>
        <w:spacing w:before="60" w:after="60"/>
      </w:pPr>
      <w:r>
        <w:t>Code monétaire et financier : article L. 621-7.</w:t>
      </w:r>
    </w:p>
    <w:p w:rsidR="00282E09" w:rsidRDefault="00AF58A5" w:rsidP="00282E09">
      <w:pPr>
        <w:pStyle w:val="Paragraphedeliste"/>
        <w:numPr>
          <w:ilvl w:val="0"/>
          <w:numId w:val="23"/>
        </w:numPr>
        <w:spacing w:before="60" w:after="60"/>
      </w:pPr>
      <w:hyperlink r:id="rId51" w:history="1">
        <w:r w:rsidR="00282E09" w:rsidRPr="00BE61C4">
          <w:rPr>
            <w:rStyle w:val="Lienhypertexte"/>
          </w:rPr>
          <w:t>Règlement général</w:t>
        </w:r>
        <w:r w:rsidR="00282E09" w:rsidRPr="00BE61C4">
          <w:rPr>
            <w:rStyle w:val="Lienhypertexte"/>
          </w:rPr>
          <w:t xml:space="preserve"> </w:t>
        </w:r>
        <w:r w:rsidR="00282E09" w:rsidRPr="00BE61C4">
          <w:rPr>
            <w:rStyle w:val="Lienhypertexte"/>
          </w:rPr>
          <w:t>de l'AMF</w:t>
        </w:r>
      </w:hyperlink>
      <w:r w:rsidR="00282E09">
        <w:t xml:space="preserve"> : titre II, chapitre 1er.</w:t>
      </w:r>
    </w:p>
    <w:p w:rsidR="00282E09" w:rsidRDefault="00AF58A5" w:rsidP="00282E09">
      <w:pPr>
        <w:pStyle w:val="Paragraphedeliste"/>
        <w:numPr>
          <w:ilvl w:val="0"/>
          <w:numId w:val="23"/>
        </w:numPr>
        <w:spacing w:before="60" w:after="60"/>
      </w:pPr>
      <w:hyperlink r:id="rId52" w:history="1">
        <w:r w:rsidR="00282E09" w:rsidRPr="00946393">
          <w:rPr>
            <w:rStyle w:val="Lienhypertexte"/>
          </w:rPr>
          <w:t>Instruction AMF n° 2007-03</w:t>
        </w:r>
      </w:hyperlink>
      <w:r w:rsidR="00282E09">
        <w:t xml:space="preserve"> relative aux modalités de dépôt de l'information réglementée et au fonctionnement de la banque des communiqués.</w:t>
      </w:r>
    </w:p>
    <w:p w:rsidR="00282E09" w:rsidRDefault="00282E09" w:rsidP="00282E09"/>
    <w:p w:rsidR="00282E09" w:rsidRPr="00252117" w:rsidRDefault="00282E09" w:rsidP="00282E09">
      <w:pPr>
        <w:pStyle w:val="CACTitre3"/>
        <w:rPr>
          <w:rStyle w:val="lev"/>
        </w:rPr>
      </w:pPr>
      <w:bookmarkStart w:id="97" w:name="_Toc452386006"/>
      <w:r>
        <w:rPr>
          <w:rStyle w:val="lev"/>
        </w:rPr>
        <w:t>Descriptif de l’obligation ou de la spécificité pour l’émetteur</w:t>
      </w:r>
      <w:bookmarkEnd w:id="97"/>
    </w:p>
    <w:p w:rsidR="00282E09" w:rsidRDefault="00282E09" w:rsidP="00282E09"/>
    <w:p w:rsidR="00282E09" w:rsidRDefault="00282E09" w:rsidP="00282E09">
      <w:r>
        <w:t>La directive Transparence entrée en vigueur le 20 janvier 2007, transposée dans le code monétaire et financier et le règlement général de l'AMF, a institué les modalités de diffusion de l'information réglementée émise par les sociétés dont les titres financiers sont admis aux négociations sur un marché réglementé.</w:t>
      </w:r>
    </w:p>
    <w:p w:rsidR="00282E09" w:rsidRDefault="00282E09" w:rsidP="00282E09"/>
    <w:p w:rsidR="00282E09" w:rsidRPr="0087083D" w:rsidRDefault="00282E09" w:rsidP="00282E09">
      <w:pPr>
        <w:pStyle w:val="CACTitre4"/>
      </w:pPr>
      <w:r w:rsidRPr="0087083D">
        <w:t>Définition de l'information réglementée</w:t>
      </w:r>
    </w:p>
    <w:p w:rsidR="00282E09" w:rsidRDefault="00282E09" w:rsidP="00282E09"/>
    <w:p w:rsidR="00282E09" w:rsidRDefault="00282E09" w:rsidP="00282E09">
      <w:r>
        <w:t>L'information réglementée concerne l'information périodique et permanente qu'une société cotée doit rendre publique. Cette définition a été précisée par le règlement général de l'AMF.</w:t>
      </w:r>
    </w:p>
    <w:p w:rsidR="00282E09" w:rsidRDefault="00282E09" w:rsidP="00282E09"/>
    <w:p w:rsidR="00282E09" w:rsidRDefault="00282E09" w:rsidP="00282E09">
      <w:r>
        <w:t>Elle désigne les documents et informations suivants :</w:t>
      </w:r>
    </w:p>
    <w:p w:rsidR="00282E09" w:rsidRDefault="00282E09" w:rsidP="00282E09">
      <w:pPr>
        <w:pStyle w:val="Paragraphedeliste"/>
        <w:numPr>
          <w:ilvl w:val="0"/>
          <w:numId w:val="46"/>
        </w:numPr>
        <w:spacing w:before="60" w:after="60"/>
      </w:pPr>
      <w:r>
        <w:t>le rapport financier annuel ;</w:t>
      </w:r>
    </w:p>
    <w:p w:rsidR="00282E09" w:rsidRDefault="00282E09" w:rsidP="00282E09">
      <w:pPr>
        <w:pStyle w:val="Paragraphedeliste"/>
        <w:numPr>
          <w:ilvl w:val="0"/>
          <w:numId w:val="46"/>
        </w:numPr>
        <w:spacing w:before="60" w:after="60"/>
      </w:pPr>
      <w:r>
        <w:t>le rapport financier semestriel ;</w:t>
      </w:r>
    </w:p>
    <w:p w:rsidR="00282E09" w:rsidRDefault="00282E09" w:rsidP="00282E09">
      <w:pPr>
        <w:pStyle w:val="Paragraphedeliste"/>
        <w:numPr>
          <w:ilvl w:val="0"/>
          <w:numId w:val="46"/>
        </w:numPr>
        <w:spacing w:before="60" w:after="60"/>
      </w:pPr>
      <w:r>
        <w:t>l'information trimestrielle ;</w:t>
      </w:r>
    </w:p>
    <w:p w:rsidR="00282E09" w:rsidRDefault="00282E09" w:rsidP="00282E09">
      <w:pPr>
        <w:pStyle w:val="Paragraphedeliste"/>
        <w:numPr>
          <w:ilvl w:val="0"/>
          <w:numId w:val="46"/>
        </w:numPr>
        <w:spacing w:before="60" w:after="60"/>
      </w:pPr>
      <w:r>
        <w:t>le rapport sur le gouvernement d'entreprise et le contrôle interne ;</w:t>
      </w:r>
    </w:p>
    <w:p w:rsidR="00282E09" w:rsidRDefault="00282E09" w:rsidP="00282E09">
      <w:pPr>
        <w:pStyle w:val="Paragraphedeliste"/>
        <w:numPr>
          <w:ilvl w:val="0"/>
          <w:numId w:val="46"/>
        </w:numPr>
        <w:spacing w:before="60" w:after="60"/>
      </w:pPr>
      <w:r>
        <w:t>le communiqué relatif aux honoraires des commissaires aux comptes ;</w:t>
      </w:r>
    </w:p>
    <w:p w:rsidR="00282E09" w:rsidRDefault="00282E09" w:rsidP="00282E09">
      <w:pPr>
        <w:pStyle w:val="Paragraphedeliste"/>
        <w:numPr>
          <w:ilvl w:val="0"/>
          <w:numId w:val="46"/>
        </w:numPr>
        <w:spacing w:before="60" w:after="60"/>
      </w:pPr>
      <w:r>
        <w:lastRenderedPageBreak/>
        <w:t>l'information sur les droits de vote et sur le nombre d'actions composant le capital ;</w:t>
      </w:r>
    </w:p>
    <w:p w:rsidR="00282E09" w:rsidRDefault="00282E09" w:rsidP="00282E09">
      <w:pPr>
        <w:pStyle w:val="Paragraphedeliste"/>
        <w:numPr>
          <w:ilvl w:val="0"/>
          <w:numId w:val="46"/>
        </w:numPr>
        <w:spacing w:before="60" w:after="60"/>
      </w:pPr>
      <w:r>
        <w:t>le descriptif des programmes de rachat d'action ;</w:t>
      </w:r>
    </w:p>
    <w:p w:rsidR="00282E09" w:rsidRDefault="00282E09" w:rsidP="00282E09">
      <w:pPr>
        <w:pStyle w:val="Paragraphedeliste"/>
        <w:numPr>
          <w:ilvl w:val="0"/>
          <w:numId w:val="46"/>
        </w:numPr>
        <w:spacing w:before="60" w:after="60"/>
      </w:pPr>
      <w:r>
        <w:t>le communiqué précisant les modalités de mise à disposition du prospectus ;</w:t>
      </w:r>
    </w:p>
    <w:p w:rsidR="00282E09" w:rsidRDefault="00282E09" w:rsidP="00282E09">
      <w:pPr>
        <w:pStyle w:val="Paragraphedeliste"/>
        <w:numPr>
          <w:ilvl w:val="0"/>
          <w:numId w:val="46"/>
        </w:numPr>
        <w:spacing w:before="60" w:after="60"/>
      </w:pPr>
      <w:r>
        <w:t>l'information privilégiée publiée en application de l'article 223-2 du règlement général de l'AMF ;</w:t>
      </w:r>
    </w:p>
    <w:p w:rsidR="00282E09" w:rsidRDefault="00282E09" w:rsidP="00282E09">
      <w:pPr>
        <w:pStyle w:val="Paragraphedeliste"/>
        <w:numPr>
          <w:ilvl w:val="0"/>
          <w:numId w:val="46"/>
        </w:numPr>
        <w:spacing w:before="60" w:after="60"/>
      </w:pPr>
      <w:r>
        <w:t>un communiqué qui précise les modalités de mise à disposition ou de consultation des informations aux actionnaires, prévues à l'article R. 225-83 du code de commerce,</w:t>
      </w:r>
    </w:p>
    <w:p w:rsidR="00282E09" w:rsidRDefault="00282E09" w:rsidP="00282E09">
      <w:pPr>
        <w:pStyle w:val="Paragraphedeliste"/>
        <w:numPr>
          <w:ilvl w:val="0"/>
          <w:numId w:val="46"/>
        </w:numPr>
        <w:spacing w:before="60" w:after="60"/>
      </w:pPr>
      <w:r w:rsidRPr="0087083D">
        <w:t>les informations visées à l'article 223-21 du règlement général de l'AMF (modification des droits attachés aux actions, des conditions de l'émission, les nouvelles émissions d'emprunt et leur garantie).</w:t>
      </w:r>
    </w:p>
    <w:p w:rsidR="00282E09" w:rsidRDefault="00282E09" w:rsidP="00282E09"/>
    <w:p w:rsidR="00282E09" w:rsidRPr="0087083D" w:rsidRDefault="00282E09" w:rsidP="00282E09">
      <w:pPr>
        <w:pStyle w:val="CACTitre4"/>
      </w:pPr>
      <w:r w:rsidRPr="0087083D">
        <w:t>Les modalités de diffusion de l'information réglementée</w:t>
      </w:r>
    </w:p>
    <w:p w:rsidR="00282E09" w:rsidRDefault="00282E09" w:rsidP="00282E09"/>
    <w:p w:rsidR="00282E09" w:rsidRDefault="00282E09" w:rsidP="00282E09">
      <w:r>
        <w:t>Toute société dont les titres financiers sont admis aux négociations sur un marché réglementé doit s'assurer de la diffusion « effective et intégrale » de l'information réglementée (pour les sociétés dont les titres sont cotés sur le compartiment d'Euronext Paris destiné aux admissions sans offre préalable au public, (</w:t>
      </w:r>
      <w:r w:rsidRPr="00C41466">
        <w:t xml:space="preserve">cf. </w:t>
      </w:r>
      <w:r>
        <w:t xml:space="preserve">§ </w:t>
      </w:r>
      <w:r w:rsidRPr="00C41466">
        <w:t>3.5</w:t>
      </w:r>
      <w:r>
        <w:t xml:space="preserve"> de la section 300 de ce chapitre).</w:t>
      </w:r>
    </w:p>
    <w:p w:rsidR="00282E09" w:rsidRDefault="00282E09" w:rsidP="00282E09"/>
    <w:p w:rsidR="00282E09" w:rsidRDefault="00282E09" w:rsidP="00282E09">
      <w:r>
        <w:t>La diffusion effective et intégrale consiste en une diffusion de l'information par voie électronique auprès d'un large public au sein de l'Union européenne et selon un processus encadré garantissant la sécurité de la diffusion.</w:t>
      </w:r>
    </w:p>
    <w:p w:rsidR="00282E09" w:rsidRDefault="00282E09" w:rsidP="00282E09"/>
    <w:p w:rsidR="00282E09" w:rsidRDefault="00282E09" w:rsidP="00282E09">
      <w:r>
        <w:t>Les sociétés peuvent choisir de diffuser elle-même l'information, ou faire appel aux services d'un diffuseur professionnel qui figure sur une liste publiée sur le site de l'AMF. L'émetteur bénéficie, dans ce dernier cas, d'une présomption de diffusion effective et intégrale.</w:t>
      </w:r>
    </w:p>
    <w:p w:rsidR="00282E09" w:rsidRDefault="00282E09" w:rsidP="00282E09"/>
    <w:p w:rsidR="00282E09" w:rsidRDefault="00282E09" w:rsidP="00282E09">
      <w:r>
        <w:t>Afin d'alléger la diffusion d'information par les sociétés cotées, le règlement général de l'AMF prévoit sous certaines conditions, des cas de dispense de publication isolée de certaines informations réglementées :</w:t>
      </w:r>
    </w:p>
    <w:p w:rsidR="00282E09" w:rsidRDefault="00282E09" w:rsidP="00282E09">
      <w:pPr>
        <w:pStyle w:val="Paragraphedeliste"/>
        <w:numPr>
          <w:ilvl w:val="0"/>
          <w:numId w:val="48"/>
        </w:numPr>
        <w:spacing w:before="60" w:after="60"/>
      </w:pPr>
      <w:r>
        <w:t>le rapport financier annuel,</w:t>
      </w:r>
    </w:p>
    <w:p w:rsidR="00282E09" w:rsidRDefault="00282E09" w:rsidP="00282E09">
      <w:pPr>
        <w:pStyle w:val="Paragraphedeliste"/>
        <w:numPr>
          <w:ilvl w:val="0"/>
          <w:numId w:val="48"/>
        </w:numPr>
        <w:spacing w:before="60" w:after="60"/>
      </w:pPr>
      <w:r>
        <w:t>le rapport financier semestriel,</w:t>
      </w:r>
    </w:p>
    <w:p w:rsidR="00282E09" w:rsidRDefault="00282E09" w:rsidP="00282E09">
      <w:pPr>
        <w:pStyle w:val="Paragraphedeliste"/>
        <w:numPr>
          <w:ilvl w:val="0"/>
          <w:numId w:val="48"/>
        </w:numPr>
        <w:spacing w:before="60" w:after="60"/>
      </w:pPr>
      <w:r>
        <w:t>les informations trimestrielles,</w:t>
      </w:r>
    </w:p>
    <w:p w:rsidR="00282E09" w:rsidRDefault="00282E09" w:rsidP="00282E09">
      <w:pPr>
        <w:pStyle w:val="Paragraphedeliste"/>
        <w:numPr>
          <w:ilvl w:val="0"/>
          <w:numId w:val="48"/>
        </w:numPr>
        <w:spacing w:before="60" w:after="60"/>
      </w:pPr>
      <w:r>
        <w:t>le rapport sur le gouvernement d'entreprise et le contrôle interne.</w:t>
      </w:r>
    </w:p>
    <w:p w:rsidR="00282E09" w:rsidRDefault="00282E09" w:rsidP="00282E09"/>
    <w:p w:rsidR="00282E09" w:rsidRDefault="00282E09" w:rsidP="00282E09">
      <w:r>
        <w:t>Pour bénéficier de cette dispense, l'émetteur doit :</w:t>
      </w:r>
    </w:p>
    <w:p w:rsidR="00282E09" w:rsidRDefault="00282E09" w:rsidP="00282E09">
      <w:pPr>
        <w:pStyle w:val="Paragraphedeliste"/>
        <w:numPr>
          <w:ilvl w:val="0"/>
          <w:numId w:val="47"/>
        </w:numPr>
        <w:spacing w:before="60" w:after="60"/>
      </w:pPr>
      <w:r>
        <w:t>soit intégrer l'information dans un document de référence dans les délais requis par les textes pour la publication de ces informations ;</w:t>
      </w:r>
    </w:p>
    <w:p w:rsidR="00282E09" w:rsidRDefault="00282E09" w:rsidP="00282E09">
      <w:pPr>
        <w:pStyle w:val="Paragraphedeliste"/>
        <w:numPr>
          <w:ilvl w:val="0"/>
          <w:numId w:val="47"/>
        </w:numPr>
        <w:spacing w:before="60" w:after="60"/>
      </w:pPr>
      <w:r>
        <w:t>soit publier, selon le même canal que l'information réglementée, un communiqué précisant les modalités de leur mise à disposition sur le site de l'émetteur.</w:t>
      </w:r>
    </w:p>
    <w:p w:rsidR="00282E09" w:rsidRDefault="00282E09" w:rsidP="00282E09"/>
    <w:p w:rsidR="00282E09" w:rsidRPr="0087083D" w:rsidRDefault="00282E09" w:rsidP="00282E09">
      <w:pPr>
        <w:pStyle w:val="CACTitre4"/>
      </w:pPr>
      <w:r w:rsidRPr="0087083D">
        <w:t>Transmission de l'information réglementée à l'AMF</w:t>
      </w:r>
    </w:p>
    <w:p w:rsidR="00282E09" w:rsidRDefault="00282E09" w:rsidP="00282E09"/>
    <w:p w:rsidR="00282E09" w:rsidRDefault="00282E09" w:rsidP="00282E09">
      <w:r>
        <w:t>Au moment de sa diffusion, l'émetteur doit également transmettre l'information réglementée à l'AMF et la mettre en ligne sur son site internet. Lorsque l'émetteur fait appel à un diffuseur professionnel, celui-ci est chargé de transmettre l'information à l'AMF.</w:t>
      </w:r>
    </w:p>
    <w:p w:rsidR="00282E09" w:rsidRDefault="00282E09" w:rsidP="00282E09"/>
    <w:p w:rsidR="00282E09" w:rsidRPr="004962A5" w:rsidRDefault="00282E09" w:rsidP="00282E09">
      <w:pPr>
        <w:pStyle w:val="CACTitre4"/>
      </w:pPr>
      <w:r w:rsidRPr="004962A5">
        <w:t>Communication par voie de presse écrite</w:t>
      </w:r>
    </w:p>
    <w:p w:rsidR="00282E09" w:rsidRDefault="00282E09" w:rsidP="00282E09"/>
    <w:p w:rsidR="00282E09" w:rsidRDefault="00282E09" w:rsidP="00282E09">
      <w:r>
        <w:t xml:space="preserve">Par ailleurs, les sociétés doivent également procéder à une communication financière par voie de presse écrite selon le rythme et les modalités de présentation qu'elles estiment adaptés au type </w:t>
      </w:r>
      <w:r>
        <w:lastRenderedPageBreak/>
        <w:t>d'instruments financiers émis, à leur actionnariat et à leur taille. La communication doit être pertinente, non trompeuse et cohérente avec les informations réglementées diffusées par voie électronique.</w:t>
      </w:r>
    </w:p>
    <w:p w:rsidR="00282E09" w:rsidRDefault="00282E09" w:rsidP="00282E09"/>
    <w:p w:rsidR="00282E09" w:rsidRDefault="00282E09" w:rsidP="00282E09">
      <w:r>
        <w:t>L'insertion de publicités ou d'avis financiers dans la presse écrite, quotidienne ou périodique, à contenu économique ou financier, constitue un vecteur privilégié de cette communication.</w:t>
      </w:r>
    </w:p>
    <w:p w:rsidR="00282E09" w:rsidRDefault="00282E09" w:rsidP="00282E09"/>
    <w:p w:rsidR="00282E09" w:rsidRDefault="00282E09" w:rsidP="00282E09">
      <w:r>
        <w:t>L'information réglementée transmise à l'AMF est stockée et peut être consultée par le public sur le site www.info-financière.fr de la Direction des Journaux Officiels.</w:t>
      </w:r>
    </w:p>
    <w:p w:rsidR="00282E09" w:rsidRDefault="00282E09" w:rsidP="00282E09"/>
    <w:p w:rsidR="00282E09" w:rsidRPr="00252117" w:rsidRDefault="00282E09" w:rsidP="00282E09">
      <w:pPr>
        <w:pStyle w:val="CACTitre3"/>
        <w:rPr>
          <w:rStyle w:val="lev"/>
        </w:rPr>
      </w:pPr>
      <w:bookmarkStart w:id="98" w:name="_Toc452386007"/>
      <w:r>
        <w:rPr>
          <w:rStyle w:val="lev"/>
        </w:rPr>
        <w:t>Descriptif de l’obligation ou de la spécificité pour le(s) commissaire(s) aux comptes / points pour attention</w:t>
      </w:r>
      <w:bookmarkEnd w:id="98"/>
    </w:p>
    <w:p w:rsidR="00282E09" w:rsidRDefault="00282E09" w:rsidP="00282E09"/>
    <w:p w:rsidR="00282E09" w:rsidRDefault="00282E09" w:rsidP="00282E09">
      <w:r>
        <w:t>Les textes ne prévoient pas d'obligation particulière pour les commissaires aux comptes.</w:t>
      </w:r>
    </w:p>
    <w:p w:rsidR="00282E09" w:rsidRDefault="00282E09" w:rsidP="00282E09"/>
    <w:p w:rsidR="00282E09" w:rsidRPr="0083694A" w:rsidRDefault="00282E09" w:rsidP="00282E09">
      <w:r>
        <w:t xml:space="preserve">Les dispositions des articles L. 823-12 et L. 621-22 du code de commerce leur sont </w:t>
      </w:r>
      <w:r w:rsidRPr="0083694A">
        <w:t>applicables en cas d'irrégularités relevées dan</w:t>
      </w:r>
      <w:r>
        <w:t xml:space="preserve">s le cadre de leur mission (cf. § </w:t>
      </w:r>
      <w:r w:rsidRPr="00C41466">
        <w:t>1.3</w:t>
      </w:r>
      <w:r>
        <w:t xml:space="preserve"> de la section 300 de ce chapitre</w:t>
      </w:r>
      <w:r w:rsidRPr="0083694A">
        <w:t>).</w:t>
      </w:r>
    </w:p>
    <w:p w:rsidR="00282E09" w:rsidRDefault="00282E09" w:rsidP="00282E09">
      <w:pPr>
        <w:tabs>
          <w:tab w:val="left" w:pos="1965"/>
        </w:tabs>
      </w:pPr>
    </w:p>
    <w:p w:rsidR="00282E09" w:rsidRPr="00BA33C3" w:rsidRDefault="00282E09" w:rsidP="00282E09">
      <w:pPr>
        <w:pStyle w:val="CACTitre3"/>
        <w:rPr>
          <w:rStyle w:val="lev"/>
        </w:rPr>
      </w:pPr>
      <w:bookmarkStart w:id="99" w:name="_Toc452386008"/>
      <w:r>
        <w:rPr>
          <w:rStyle w:val="lev"/>
        </w:rPr>
        <w:t>Outils disponibles</w:t>
      </w:r>
      <w:bookmarkEnd w:id="99"/>
    </w:p>
    <w:p w:rsidR="00282E09" w:rsidRDefault="00282E09" w:rsidP="00282E09"/>
    <w:p w:rsidR="00282E09" w:rsidRDefault="00AF58A5" w:rsidP="00282E09">
      <w:pPr>
        <w:pStyle w:val="Paragraphedeliste"/>
        <w:numPr>
          <w:ilvl w:val="0"/>
          <w:numId w:val="49"/>
        </w:numPr>
        <w:spacing w:before="60" w:after="60"/>
      </w:pPr>
      <w:hyperlink r:id="rId53" w:history="1">
        <w:r w:rsidR="00282E09" w:rsidRPr="00914ABF">
          <w:rPr>
            <w:rStyle w:val="Lienhypertexte"/>
          </w:rPr>
          <w:t>Recommandatio</w:t>
        </w:r>
        <w:r w:rsidR="00282E09" w:rsidRPr="00914ABF">
          <w:rPr>
            <w:rStyle w:val="Lienhypertexte"/>
          </w:rPr>
          <w:t>n</w:t>
        </w:r>
        <w:r w:rsidR="00282E09" w:rsidRPr="00914ABF">
          <w:rPr>
            <w:rStyle w:val="Lienhypertexte"/>
          </w:rPr>
          <w:t xml:space="preserve"> AMF n° 2014-15</w:t>
        </w:r>
      </w:hyperlink>
      <w:r w:rsidR="00282E09" w:rsidRPr="00C41466">
        <w:t xml:space="preserve"> du 9 décembre 2014 sur la communication des sociétés cotées sur leur site internet et sur les médias sociaux</w:t>
      </w:r>
    </w:p>
    <w:p w:rsidR="00282E09" w:rsidRDefault="00AF58A5" w:rsidP="00282E09">
      <w:pPr>
        <w:pStyle w:val="Paragraphedeliste"/>
        <w:numPr>
          <w:ilvl w:val="0"/>
          <w:numId w:val="49"/>
        </w:numPr>
        <w:spacing w:before="60" w:after="60"/>
      </w:pPr>
      <w:hyperlink r:id="rId54" w:history="1">
        <w:r w:rsidR="00282E09" w:rsidRPr="00025C2D">
          <w:rPr>
            <w:rStyle w:val="Lienhypertexte"/>
          </w:rPr>
          <w:t>Commu</w:t>
        </w:r>
        <w:r w:rsidR="00282E09" w:rsidRPr="00025C2D">
          <w:rPr>
            <w:rStyle w:val="Lienhypertexte"/>
          </w:rPr>
          <w:t>n</w:t>
        </w:r>
        <w:r w:rsidR="00282E09" w:rsidRPr="00025C2D">
          <w:rPr>
            <w:rStyle w:val="Lienhypertexte"/>
          </w:rPr>
          <w:t>iqué AMF relatif à la transposition de la directive Transparence dans le règlement général de l'AMF</w:t>
        </w:r>
      </w:hyperlink>
      <w:r w:rsidR="00282E09">
        <w:t xml:space="preserve"> : Les obligations d'information périodique et les nouvelles modalités de diffusion et d'archivage de l'information réglementée (22  janvier 2007).</w:t>
      </w:r>
    </w:p>
    <w:p w:rsidR="00282E09" w:rsidRDefault="00AF58A5" w:rsidP="00282E09">
      <w:pPr>
        <w:pStyle w:val="Paragraphedeliste"/>
        <w:numPr>
          <w:ilvl w:val="0"/>
          <w:numId w:val="49"/>
        </w:numPr>
        <w:spacing w:before="60" w:after="60"/>
      </w:pPr>
      <w:hyperlink r:id="rId55" w:history="1">
        <w:r w:rsidR="00282E09" w:rsidRPr="00946393">
          <w:rPr>
            <w:rStyle w:val="Lienhypertexte"/>
          </w:rPr>
          <w:t>Guide AMF relatif au d</w:t>
        </w:r>
        <w:r w:rsidR="00282E09" w:rsidRPr="00946393">
          <w:rPr>
            <w:rStyle w:val="Lienhypertexte"/>
          </w:rPr>
          <w:t>é</w:t>
        </w:r>
        <w:r w:rsidR="00282E09" w:rsidRPr="00946393">
          <w:rPr>
            <w:rStyle w:val="Lienhypertexte"/>
          </w:rPr>
          <w:t>pôt de l'information réglementée</w:t>
        </w:r>
      </w:hyperlink>
      <w:r w:rsidR="00282E09">
        <w:t xml:space="preserve"> auprès de l'AMF et à sa diffusion (10 décembre 2007).</w:t>
      </w:r>
    </w:p>
    <w:p w:rsidR="00282E09" w:rsidRDefault="00282E09" w:rsidP="00282E09"/>
    <w:p w:rsidR="00282E09" w:rsidRDefault="00282E09" w:rsidP="00282E09">
      <w:pPr>
        <w:pStyle w:val="CACTitre1"/>
        <w:numPr>
          <w:ilvl w:val="0"/>
          <w:numId w:val="50"/>
        </w:numPr>
      </w:pPr>
      <w:bookmarkStart w:id="100" w:name="_Toc335388815"/>
      <w:bookmarkStart w:id="101" w:name="_Toc427855175"/>
      <w:bookmarkStart w:id="102" w:name="_Toc452386009"/>
      <w:r w:rsidRPr="008D2138">
        <w:t>RAPPORT</w:t>
      </w:r>
      <w:r>
        <w:t xml:space="preserve"> DE TRANSPARENCE</w:t>
      </w:r>
      <w:bookmarkEnd w:id="100"/>
      <w:bookmarkEnd w:id="101"/>
      <w:bookmarkEnd w:id="102"/>
    </w:p>
    <w:p w:rsidR="00282E09" w:rsidRDefault="00282E09" w:rsidP="00282E09">
      <w:bookmarkStart w:id="103" w:name="_Toc335388816"/>
    </w:p>
    <w:p w:rsidR="00282E09" w:rsidRPr="003A0BCE" w:rsidRDefault="00282E09" w:rsidP="00282E09">
      <w:pPr>
        <w:pStyle w:val="CACTitre2"/>
        <w:rPr>
          <w:rStyle w:val="lev"/>
          <w:b/>
        </w:rPr>
      </w:pPr>
      <w:bookmarkStart w:id="104" w:name="_Toc452386010"/>
      <w:bookmarkEnd w:id="103"/>
      <w:r>
        <w:rPr>
          <w:rStyle w:val="lev"/>
          <w:b/>
        </w:rPr>
        <w:t>TEXTES DE REFERENCE</w:t>
      </w:r>
      <w:bookmarkEnd w:id="104"/>
    </w:p>
    <w:p w:rsidR="00282E09" w:rsidRDefault="00282E09" w:rsidP="00282E09"/>
    <w:p w:rsidR="00282E09" w:rsidRDefault="00282E09" w:rsidP="00282E09">
      <w:pPr>
        <w:pStyle w:val="Paragraphedeliste"/>
        <w:numPr>
          <w:ilvl w:val="0"/>
          <w:numId w:val="23"/>
        </w:numPr>
        <w:spacing w:before="60" w:after="60"/>
      </w:pPr>
      <w:r w:rsidRPr="004962A5">
        <w:t>Code de commerce : article R. 823-21</w:t>
      </w:r>
    </w:p>
    <w:p w:rsidR="00282E09" w:rsidRDefault="00282E09" w:rsidP="00282E09"/>
    <w:p w:rsidR="00282E09" w:rsidRPr="003A0BCE" w:rsidRDefault="00282E09" w:rsidP="00282E09">
      <w:pPr>
        <w:pStyle w:val="CACTitre2"/>
        <w:rPr>
          <w:rStyle w:val="lev"/>
          <w:b/>
        </w:rPr>
      </w:pPr>
      <w:bookmarkStart w:id="105" w:name="_Toc452386011"/>
      <w:r>
        <w:rPr>
          <w:rStyle w:val="lev"/>
          <w:b/>
        </w:rPr>
        <w:t>DESCRIPTIF DE L’OBLIGATION OU DE LA SPECIFICITE POUR L’EMETTEUR</w:t>
      </w:r>
      <w:bookmarkEnd w:id="105"/>
    </w:p>
    <w:p w:rsidR="00282E09" w:rsidRDefault="00282E09" w:rsidP="00282E09">
      <w:pPr>
        <w:tabs>
          <w:tab w:val="left" w:pos="1725"/>
        </w:tabs>
      </w:pPr>
    </w:p>
    <w:p w:rsidR="00282E09" w:rsidRDefault="00282E09" w:rsidP="00282E09">
      <w:r>
        <w:t>Non applicable</w:t>
      </w:r>
    </w:p>
    <w:p w:rsidR="00282E09" w:rsidRDefault="00282E09" w:rsidP="00282E09"/>
    <w:p w:rsidR="00282E09" w:rsidRPr="003A0BCE" w:rsidRDefault="00282E09" w:rsidP="00282E09">
      <w:pPr>
        <w:pStyle w:val="CACTitre2"/>
        <w:rPr>
          <w:rStyle w:val="lev"/>
          <w:b/>
        </w:rPr>
      </w:pPr>
      <w:bookmarkStart w:id="106" w:name="_Toc452386012"/>
      <w:r>
        <w:rPr>
          <w:rStyle w:val="lev"/>
          <w:b/>
        </w:rPr>
        <w:t>DESCRIPTIF DE L’OBLIGATION OU DE LA SPECIFICITE POUR LE(S) COMMISSAIRE(S) AUX COMPTES / POINTS POUR ATTENTION</w:t>
      </w:r>
      <w:bookmarkEnd w:id="106"/>
    </w:p>
    <w:p w:rsidR="00282E09" w:rsidRPr="00252117" w:rsidRDefault="00282E09" w:rsidP="00282E09">
      <w:pPr>
        <w:rPr>
          <w:rStyle w:val="lev"/>
        </w:rPr>
      </w:pPr>
    </w:p>
    <w:p w:rsidR="00282E09" w:rsidRDefault="00282E09" w:rsidP="00282E09">
      <w:r>
        <w:t xml:space="preserve">Les commissaires aux comptes désignés auprès de personnes ou d'entités dont les titres financiers sont admis aux négociations sur un marché réglementé ou auprès d'établissements de crédit </w:t>
      </w:r>
      <w:r w:rsidRPr="004962A5">
        <w:rPr>
          <w:b/>
        </w:rPr>
        <w:t>publient sur leur site internet, dans les trois mois suivant la clôture de l'exercice, un rapport de transparence</w:t>
      </w:r>
      <w:r>
        <w:t>.</w:t>
      </w:r>
    </w:p>
    <w:p w:rsidR="00282E09" w:rsidRDefault="00282E09" w:rsidP="00282E09"/>
    <w:p w:rsidR="00282E09" w:rsidRDefault="00282E09" w:rsidP="00282E09">
      <w:r>
        <w:t>Le rapport de transparence inclut notamment les informations suivantes :</w:t>
      </w:r>
    </w:p>
    <w:p w:rsidR="00282E09" w:rsidRDefault="00282E09" w:rsidP="00282E09">
      <w:r>
        <w:t>a) une description de la forme juridique et, le cas échéant, du capital de leur structure d'exercice professionnel ;</w:t>
      </w:r>
    </w:p>
    <w:p w:rsidR="00282E09" w:rsidRDefault="00282E09" w:rsidP="00282E09">
      <w:r>
        <w:lastRenderedPageBreak/>
        <w:t>b) le cas échéant, une description du réseau auquel ils appartiennent indiquant notamment sa forme juridique et son organisation ;</w:t>
      </w:r>
    </w:p>
    <w:p w:rsidR="00282E09" w:rsidRDefault="00282E09" w:rsidP="00282E09">
      <w:r>
        <w:t>c) une description du système interne de contrôle de qualité accompagné, le cas échéant, d'une déclaration de l'organe d'administration ou de direction concernant l'efficacité de son fonctionnement ;</w:t>
      </w:r>
    </w:p>
    <w:p w:rsidR="00282E09" w:rsidRDefault="00282E09" w:rsidP="00282E09">
      <w:r>
        <w:t>d) la date du dernier contrôle mentionné à l'article R. 821-26 du code de commerce ;</w:t>
      </w:r>
    </w:p>
    <w:p w:rsidR="00282E09" w:rsidRDefault="00282E09" w:rsidP="00282E09">
      <w:r>
        <w:t>e) la liste des personnes ou entités mentionnées au premier alinéa pour lesquelles le cabinet a effectué une mission de contrôle légal des comptes au cours de l'exercice écoulé ;</w:t>
      </w:r>
    </w:p>
    <w:p w:rsidR="00282E09" w:rsidRDefault="00282E09" w:rsidP="00282E09">
      <w:r>
        <w:t>f) une déclaration concernant les pratiques d'indépendance mises en place au sein du cabinet confirmant qu'une vérification interne de cette indépendance a été effectuée ;</w:t>
      </w:r>
    </w:p>
    <w:p w:rsidR="00282E09" w:rsidRDefault="00282E09" w:rsidP="00282E09">
      <w:r>
        <w:t>g) une déclaration relative à la politique suivie par le cabinet en matière de formation continue, attestant notamment le respect des dispositions des articles L. 822-4 et R. 822-61 du code de commerce ;</w:t>
      </w:r>
    </w:p>
    <w:p w:rsidR="00282E09" w:rsidRDefault="00282E09" w:rsidP="00282E09">
      <w:r>
        <w:t>h) l'ensemble des informations financières pertinentes permettant d'apprécier l'activité du cabinet, notamment le chiffre d'affaires total, le montant global des honoraires perçus au titre des missions de contrôle légal des comptes et le montant global des honoraires perçus au titre des prestations de services non directement liées à des missions de contrôle légal des comptes.</w:t>
      </w:r>
    </w:p>
    <w:p w:rsidR="00282E09" w:rsidRDefault="00282E09" w:rsidP="00282E09"/>
    <w:p w:rsidR="00282E09" w:rsidRDefault="00282E09" w:rsidP="00282E09">
      <w:r>
        <w:t>Le rapport de transparence des sociétés de commissaires aux comptes désignés auprès des personnes ou entités dont les titres sont admis aux négociations sur un marché réglementé ou auprès d'établissements de crédit comprend en outre :</w:t>
      </w:r>
    </w:p>
    <w:p w:rsidR="00282E09" w:rsidRDefault="00282E09" w:rsidP="00282E09">
      <w:r>
        <w:t>i) une description des organes de direction, d'administration et de surveillance de leur structure d'exercice professionnel, avec l'indication de leurs modalités d'organisation et de fonctionnement ;</w:t>
      </w:r>
    </w:p>
    <w:p w:rsidR="00282E09" w:rsidRDefault="00282E09" w:rsidP="00282E09">
      <w:r>
        <w:t>j) des informations sur les bases de rémunération des associés.</w:t>
      </w:r>
    </w:p>
    <w:p w:rsidR="00282E09" w:rsidRDefault="00282E09" w:rsidP="00282E09"/>
    <w:p w:rsidR="00282E09" w:rsidRDefault="00282E09" w:rsidP="00282E09">
      <w:r>
        <w:t xml:space="preserve">Le rapport de transparence est </w:t>
      </w:r>
      <w:r w:rsidRPr="004962A5">
        <w:rPr>
          <w:b/>
        </w:rPr>
        <w:t>signé par le commissaire aux comptes ou le représentant légal</w:t>
      </w:r>
      <w:r>
        <w:t xml:space="preserve"> de la société de commissaires aux comptes.</w:t>
      </w:r>
    </w:p>
    <w:p w:rsidR="00282E09" w:rsidRDefault="00282E09" w:rsidP="00282E09">
      <w:pPr>
        <w:tabs>
          <w:tab w:val="left" w:pos="1965"/>
        </w:tabs>
      </w:pPr>
    </w:p>
    <w:p w:rsidR="00282E09" w:rsidRPr="003A0BCE" w:rsidRDefault="00282E09" w:rsidP="00282E09">
      <w:pPr>
        <w:pStyle w:val="CACTitre2"/>
        <w:rPr>
          <w:rStyle w:val="lev"/>
          <w:b/>
        </w:rPr>
      </w:pPr>
      <w:bookmarkStart w:id="107" w:name="_Toc452386013"/>
      <w:r>
        <w:rPr>
          <w:rStyle w:val="lev"/>
          <w:b/>
        </w:rPr>
        <w:t>OUTILS DISPONIBLES</w:t>
      </w:r>
      <w:bookmarkEnd w:id="107"/>
    </w:p>
    <w:p w:rsidR="00282E09" w:rsidRDefault="00282E09" w:rsidP="00282E09"/>
    <w:p w:rsidR="00282E09" w:rsidRDefault="00282E09" w:rsidP="00282E09">
      <w:r w:rsidRPr="004962A5">
        <w:t>Présentation d'un plan type de rapport de transparence (Portail CNCC - Espace DMF).</w:t>
      </w:r>
    </w:p>
    <w:p w:rsidR="00282E09" w:rsidRDefault="00282E09" w:rsidP="00282E09">
      <w:r>
        <w:t xml:space="preserve">(Cf. </w:t>
      </w:r>
      <w:hyperlink r:id="rId56" w:history="1">
        <w:r w:rsidRPr="00C04A90">
          <w:rPr>
            <w:rStyle w:val="Lienhypertexte"/>
          </w:rPr>
          <w:t xml:space="preserve">intranet ATH </w:t>
        </w:r>
        <w:bookmarkStart w:id="108" w:name="_GoBack"/>
        <w:bookmarkEnd w:id="108"/>
        <w:r w:rsidRPr="00C04A90">
          <w:rPr>
            <w:rStyle w:val="Lienhypertexte"/>
          </w:rPr>
          <w:t>&gt;</w:t>
        </w:r>
        <w:r w:rsidRPr="00C04A90">
          <w:rPr>
            <w:rStyle w:val="Lienhypertexte"/>
          </w:rPr>
          <w:t xml:space="preserve"> Qualité &gt; Rapports de transparence</w:t>
        </w:r>
      </w:hyperlink>
      <w:r>
        <w:t>)</w:t>
      </w:r>
    </w:p>
    <w:p w:rsidR="00282E09" w:rsidRDefault="00282E09" w:rsidP="00282E09"/>
    <w:p w:rsidR="00282E09" w:rsidRDefault="00282E09" w:rsidP="00282E09"/>
    <w:p w:rsidR="00282E09" w:rsidRDefault="00282E09" w:rsidP="00282E09"/>
    <w:sectPr w:rsidR="00282E09" w:rsidSect="0012765C">
      <w:headerReference w:type="default" r:id="rId57"/>
      <w:footerReference w:type="default" r:id="rId58"/>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8A5" w:rsidRDefault="00AF58A5" w:rsidP="00706B95">
      <w:r>
        <w:separator/>
      </w:r>
    </w:p>
  </w:endnote>
  <w:endnote w:type="continuationSeparator" w:id="0">
    <w:p w:rsidR="00AF58A5" w:rsidRDefault="00AF58A5" w:rsidP="00706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B84" w:rsidRDefault="00A11B84" w:rsidP="00010881">
    <w:pPr>
      <w:pStyle w:val="Pieddepage"/>
    </w:pPr>
    <w:r w:rsidRPr="00955315">
      <w:rPr>
        <w:b/>
        <w:noProof/>
        <w:color w:val="0070C0"/>
        <w:sz w:val="52"/>
        <w:szCs w:val="52"/>
        <w:lang w:eastAsia="fr-FR"/>
      </w:rPr>
      <mc:AlternateContent>
        <mc:Choice Requires="wps">
          <w:drawing>
            <wp:anchor distT="0" distB="0" distL="114300" distR="114300" simplePos="0" relativeHeight="251663360" behindDoc="0" locked="0" layoutInCell="1" allowOverlap="1" wp14:anchorId="659598F9" wp14:editId="371A769A">
              <wp:simplePos x="0" y="0"/>
              <wp:positionH relativeFrom="column">
                <wp:posOffset>-167005</wp:posOffset>
              </wp:positionH>
              <wp:positionV relativeFrom="paragraph">
                <wp:posOffset>-53340</wp:posOffset>
              </wp:positionV>
              <wp:extent cx="6823710" cy="582295"/>
              <wp:effectExtent l="0" t="0" r="0" b="84455"/>
              <wp:wrapNone/>
              <wp:docPr id="1651" name="Zone de texte 1651"/>
              <wp:cNvGraphicFramePr/>
              <a:graphic xmlns:a="http://schemas.openxmlformats.org/drawingml/2006/main">
                <a:graphicData uri="http://schemas.microsoft.com/office/word/2010/wordprocessingShape">
                  <wps:wsp>
                    <wps:cNvSpPr txBox="1"/>
                    <wps:spPr>
                      <a:xfrm>
                        <a:off x="0" y="0"/>
                        <a:ext cx="6823710" cy="582295"/>
                      </a:xfrm>
                      <a:prstGeom prst="rect">
                        <a:avLst/>
                      </a:prstGeom>
                      <a:noFill/>
                      <a:ln>
                        <a:noFill/>
                      </a:ln>
                    </wps:spPr>
                    <wps:style>
                      <a:lnRef idx="0">
                        <a:schemeClr val="accent2"/>
                      </a:lnRef>
                      <a:fillRef idx="3">
                        <a:schemeClr val="accent2"/>
                      </a:fillRef>
                      <a:effectRef idx="3">
                        <a:schemeClr val="accent2"/>
                      </a:effectRef>
                      <a:fontRef idx="minor">
                        <a:schemeClr val="lt1"/>
                      </a:fontRef>
                    </wps:style>
                    <wps:txbx>
                      <w:txbxContent>
                        <w:p w:rsidR="00A11B84" w:rsidRDefault="00A11B84" w:rsidP="00010881">
                          <w:pPr>
                            <w:tabs>
                              <w:tab w:val="right" w:pos="10206"/>
                            </w:tabs>
                            <w:rPr>
                              <w:b/>
                              <w:color w:val="241820" w:themeColor="accent4" w:themeShade="80"/>
                            </w:rPr>
                          </w:pPr>
                          <w:r w:rsidRPr="005C5414">
                            <w:rPr>
                              <w:b/>
                              <w:color w:val="241820" w:themeColor="accent4" w:themeShade="80"/>
                            </w:rPr>
                            <w:t xml:space="preserve">Manuel CAC – </w:t>
                          </w:r>
                          <w:r w:rsidR="00E53428">
                            <w:rPr>
                              <w:b/>
                              <w:color w:val="241820" w:themeColor="accent4" w:themeShade="80"/>
                            </w:rPr>
                            <w:t>Juin</w:t>
                          </w:r>
                          <w:r w:rsidRPr="005C5414">
                            <w:rPr>
                              <w:b/>
                              <w:color w:val="241820" w:themeColor="accent4" w:themeShade="80"/>
                            </w:rPr>
                            <w:t xml:space="preserve"> 201</w:t>
                          </w:r>
                          <w:r>
                            <w:rPr>
                              <w:b/>
                              <w:color w:val="241820" w:themeColor="accent4" w:themeShade="80"/>
                            </w:rPr>
                            <w:t>6</w:t>
                          </w:r>
                          <w:r w:rsidRPr="005C5414">
                            <w:rPr>
                              <w:b/>
                              <w:color w:val="241820" w:themeColor="accent4" w:themeShade="80"/>
                            </w:rPr>
                            <w:tab/>
                          </w:r>
                          <w:r w:rsidRPr="00E50D53">
                            <w:rPr>
                              <w:b/>
                              <w:color w:val="241820" w:themeColor="accent4" w:themeShade="80"/>
                            </w:rPr>
                            <w:t xml:space="preserve">Chapitre </w:t>
                          </w:r>
                          <w:r w:rsidRPr="00282E09">
                            <w:rPr>
                              <w:b/>
                              <w:color w:val="241820" w:themeColor="accent4" w:themeShade="80"/>
                            </w:rPr>
                            <w:t>2413 – Obligations permanentes du commissaire aux comptes</w:t>
                          </w:r>
                        </w:p>
                        <w:p w:rsidR="00A11B84" w:rsidRPr="00DA2B39" w:rsidRDefault="00A11B84" w:rsidP="00010881">
                          <w:pPr>
                            <w:tabs>
                              <w:tab w:val="right" w:pos="10206"/>
                            </w:tabs>
                            <w:rPr>
                              <w:b/>
                              <w:color w:val="241820" w:themeColor="accent4" w:themeShade="80"/>
                            </w:rPr>
                          </w:pPr>
                          <w:r w:rsidRPr="00374FE8">
                            <w:rPr>
                              <w:b/>
                              <w:i/>
                              <w:color w:val="241820" w:themeColor="accent4" w:themeShade="80"/>
                              <w:sz w:val="16"/>
                            </w:rPr>
                            <w:t>© - ATH tous droits réservés</w:t>
                          </w:r>
                          <w:r w:rsidRPr="00DA2B39">
                            <w:rPr>
                              <w:b/>
                              <w:color w:val="241820" w:themeColor="accent4" w:themeShade="80"/>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651" o:spid="_x0000_s1028" type="#_x0000_t202" style="position:absolute;left:0;text-align:left;margin-left:-13.15pt;margin-top:-4.2pt;width:537.3pt;height:4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" filled="f" stroked="f">
              <v:shadow on="t" color="black" opacity="22937f" origin=",.5" offset="0,.63889mm"/>
              <v:textbox>
                <w:txbxContent>
                  <w:p w:rsidR="00A11B84" w:rsidRDefault="00A11B84" w:rsidP="00010881">
                    <w:pPr>
                      <w:tabs>
                        <w:tab w:val="right" w:pos="10206"/>
                      </w:tabs>
                      <w:rPr>
                        <w:b/>
                        <w:color w:val="241820" w:themeColor="accent4" w:themeShade="80"/>
                      </w:rPr>
                    </w:pPr>
                    <w:r w:rsidRPr="005C5414">
                      <w:rPr>
                        <w:b/>
                        <w:color w:val="241820" w:themeColor="accent4" w:themeShade="80"/>
                      </w:rPr>
                      <w:t xml:space="preserve">Manuel CAC – </w:t>
                    </w:r>
                    <w:r w:rsidR="00E53428">
                      <w:rPr>
                        <w:b/>
                        <w:color w:val="241820" w:themeColor="accent4" w:themeShade="80"/>
                      </w:rPr>
                      <w:t>Juin</w:t>
                    </w:r>
                    <w:r w:rsidRPr="005C5414">
                      <w:rPr>
                        <w:b/>
                        <w:color w:val="241820" w:themeColor="accent4" w:themeShade="80"/>
                      </w:rPr>
                      <w:t xml:space="preserve"> 201</w:t>
                    </w:r>
                    <w:r>
                      <w:rPr>
                        <w:b/>
                        <w:color w:val="241820" w:themeColor="accent4" w:themeShade="80"/>
                      </w:rPr>
                      <w:t>6</w:t>
                    </w:r>
                    <w:r w:rsidRPr="005C5414">
                      <w:rPr>
                        <w:b/>
                        <w:color w:val="241820" w:themeColor="accent4" w:themeShade="80"/>
                      </w:rPr>
                      <w:tab/>
                    </w:r>
                    <w:r w:rsidRPr="00E50D53">
                      <w:rPr>
                        <w:b/>
                        <w:color w:val="241820" w:themeColor="accent4" w:themeShade="80"/>
                      </w:rPr>
                      <w:t xml:space="preserve">Chapitre </w:t>
                    </w:r>
                    <w:r w:rsidRPr="00282E09">
                      <w:rPr>
                        <w:b/>
                        <w:color w:val="241820" w:themeColor="accent4" w:themeShade="80"/>
                      </w:rPr>
                      <w:t>2413 – Obligations permanentes du commissaire aux comptes</w:t>
                    </w:r>
                  </w:p>
                  <w:p w:rsidR="00A11B84" w:rsidRPr="00DA2B39" w:rsidRDefault="00A11B84" w:rsidP="00010881">
                    <w:pPr>
                      <w:tabs>
                        <w:tab w:val="right" w:pos="10206"/>
                      </w:tabs>
                      <w:rPr>
                        <w:b/>
                        <w:color w:val="241820" w:themeColor="accent4" w:themeShade="80"/>
                      </w:rPr>
                    </w:pPr>
                    <w:r w:rsidRPr="00374FE8">
                      <w:rPr>
                        <w:b/>
                        <w:i/>
                        <w:color w:val="241820" w:themeColor="accent4" w:themeShade="80"/>
                        <w:sz w:val="16"/>
                      </w:rPr>
                      <w:t>© - ATH tous droits réservés</w:t>
                    </w:r>
                    <w:r w:rsidRPr="00DA2B39">
                      <w:rPr>
                        <w:b/>
                        <w:color w:val="241820" w:themeColor="accent4" w:themeShade="80"/>
                      </w:rPr>
                      <w:tab/>
                    </w:r>
                  </w:p>
                </w:txbxContent>
              </v:textbox>
            </v:shape>
          </w:pict>
        </mc:Fallback>
      </mc:AlternateContent>
    </w:r>
    <w:r>
      <w:rPr>
        <w:b/>
        <w:noProof/>
        <w:color w:val="0070C0"/>
        <w:sz w:val="52"/>
        <w:szCs w:val="52"/>
        <w:lang w:eastAsia="fr-FR"/>
      </w:rPr>
      <mc:AlternateContent>
        <mc:Choice Requires="wps">
          <w:drawing>
            <wp:anchor distT="0" distB="0" distL="114300" distR="114300" simplePos="0" relativeHeight="251667456" behindDoc="0" locked="0" layoutInCell="1" allowOverlap="1" wp14:anchorId="0D44CC3D" wp14:editId="235BEEEB">
              <wp:simplePos x="0" y="0"/>
              <wp:positionH relativeFrom="column">
                <wp:posOffset>-467716</wp:posOffset>
              </wp:positionH>
              <wp:positionV relativeFrom="paragraph">
                <wp:posOffset>-53528</wp:posOffset>
              </wp:positionV>
              <wp:extent cx="7131720" cy="6985"/>
              <wp:effectExtent l="0" t="0" r="12065" b="31115"/>
              <wp:wrapNone/>
              <wp:docPr id="14" name="Connecteur droit 14"/>
              <wp:cNvGraphicFramePr/>
              <a:graphic xmlns:a="http://schemas.openxmlformats.org/drawingml/2006/main">
                <a:graphicData uri="http://schemas.microsoft.com/office/word/2010/wordprocessingShape">
                  <wps:wsp>
                    <wps:cNvCnPr/>
                    <wps:spPr>
                      <a:xfrm>
                        <a:off x="0" y="0"/>
                        <a:ext cx="7131720" cy="6985"/>
                      </a:xfrm>
                      <a:prstGeom prst="line">
                        <a:avLst/>
                      </a:prstGeom>
                      <a:ln w="19050">
                        <a:solidFill>
                          <a:schemeClr val="accent2">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85pt,-4.2pt" to="524.7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" strokecolor="#8a4a71 [2405]" strokeweight="1.5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8A5" w:rsidRDefault="00AF58A5" w:rsidP="00706B95">
      <w:r>
        <w:separator/>
      </w:r>
    </w:p>
  </w:footnote>
  <w:footnote w:type="continuationSeparator" w:id="0">
    <w:p w:rsidR="00AF58A5" w:rsidRDefault="00AF58A5" w:rsidP="00706B95">
      <w:r>
        <w:continuationSeparator/>
      </w:r>
    </w:p>
  </w:footnote>
  <w:footnote w:id="1">
    <w:p w:rsidR="00A11B84" w:rsidRDefault="00A11B84" w:rsidP="00282E09">
      <w:pPr>
        <w:pStyle w:val="Notedebasdepage"/>
      </w:pPr>
      <w:r>
        <w:rPr>
          <w:rStyle w:val="Appelnotedebasdep"/>
        </w:rPr>
        <w:footnoteRef/>
      </w:r>
      <w:r>
        <w:t xml:space="preserve"> </w:t>
      </w:r>
      <w:r w:rsidRPr="00F75EDC">
        <w:t>Organe collégial chargé de l'administration ou organe chargé de la direction et l'organe de surveillance, ainsi que, le cas échéant, le comité spécialisé agissant sous la responsab</w:t>
      </w:r>
      <w:r>
        <w:t xml:space="preserve">ilité de ces organes (cf. </w:t>
      </w:r>
      <w:hyperlink r:id="rId1" w:history="1">
        <w:r w:rsidRPr="00D9479C">
          <w:rPr>
            <w:rStyle w:val="Lienhypertexte"/>
          </w:rPr>
          <w:t xml:space="preserve">NI </w:t>
        </w:r>
        <w:proofErr w:type="spellStart"/>
        <w:r w:rsidRPr="00D9479C">
          <w:rPr>
            <w:rStyle w:val="Lienhypertexte"/>
          </w:rPr>
          <w:t>Xl</w:t>
        </w:r>
        <w:proofErr w:type="spellEnd"/>
        <w:r w:rsidRPr="00D9479C">
          <w:rPr>
            <w:rStyle w:val="Lienhypertexte"/>
          </w:rPr>
          <w:t xml:space="preserve"> Le commissaire aux comptes et l'audit des comptes consolidés. § 5.112</w:t>
        </w:r>
      </w:hyperlink>
      <w:r w:rsidRPr="00F75EDC">
        <w:t>).</w:t>
      </w:r>
    </w:p>
  </w:footnote>
  <w:footnote w:id="2">
    <w:p w:rsidR="00A11B84" w:rsidRDefault="00A11B84" w:rsidP="00282E09">
      <w:pPr>
        <w:pStyle w:val="Notedebasdepage"/>
      </w:pPr>
      <w:r>
        <w:rPr>
          <w:rStyle w:val="Appelnotedebasdep"/>
        </w:rPr>
        <w:footnoteRef/>
      </w:r>
      <w:r>
        <w:t xml:space="preserve"> </w:t>
      </w:r>
      <w:r w:rsidRPr="00CD717B">
        <w:t>Bien que l'article L. 621-22 (IV) ne le prévoie pas, le devoir d'information s'applique également aux SCA. Compte tenu de la procédure applicable aux SCA, en pratique, au cas particulier, ce devoir se fera dès la phase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B84" w:rsidRDefault="00A11B84">
    <w:pPr>
      <w:pStyle w:val="En-tte"/>
    </w:pPr>
    <w:r>
      <w:rPr>
        <w:noProof/>
        <w:lang w:eastAsia="fr-FR"/>
      </w:rPr>
      <mc:AlternateContent>
        <mc:Choice Requires="wps">
          <w:drawing>
            <wp:anchor distT="0" distB="0" distL="114300" distR="114300" simplePos="0" relativeHeight="251659264" behindDoc="0" locked="0" layoutInCell="0" allowOverlap="1" wp14:anchorId="53B851B5" wp14:editId="61237700">
              <wp:simplePos x="0" y="0"/>
              <wp:positionH relativeFrom="margin">
                <wp:posOffset>6002789</wp:posOffset>
              </wp:positionH>
              <wp:positionV relativeFrom="topMargin">
                <wp:posOffset>10048</wp:posOffset>
              </wp:positionV>
              <wp:extent cx="381900" cy="462225"/>
              <wp:effectExtent l="57150" t="19050" r="75565" b="90805"/>
              <wp:wrapNone/>
              <wp:docPr id="659" name="Ellips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900" cy="462225"/>
                      </a:xfrm>
                      <a:prstGeom prst="foldedCorner">
                        <a:avLst/>
                      </a:prstGeom>
                      <a:solidFill>
                        <a:srgbClr val="7030A0"/>
                      </a:solidFill>
                      <a:ln>
                        <a:solidFill>
                          <a:srgbClr val="7030A0"/>
                        </a:solidFill>
                      </a:ln>
                      <a:extLst/>
                    </wps:spPr>
                    <wps:style>
                      <a:lnRef idx="1">
                        <a:schemeClr val="accent2"/>
                      </a:lnRef>
                      <a:fillRef idx="3">
                        <a:schemeClr val="accent2"/>
                      </a:fillRef>
                      <a:effectRef idx="2">
                        <a:schemeClr val="accent2"/>
                      </a:effectRef>
                      <a:fontRef idx="minor">
                        <a:schemeClr val="lt1"/>
                      </a:fontRef>
                    </wps:style>
                    <wps:txbx>
                      <w:txbxContent>
                        <w:p w:rsidR="00A11B84" w:rsidRPr="0058523B" w:rsidRDefault="00A11B84" w:rsidP="006B0623">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E53428" w:rsidRPr="00E53428">
                            <w:rPr>
                              <w:b/>
                              <w:bCs/>
                              <w:noProof/>
                              <w:color w:val="FFFFFF" w:themeColor="background1"/>
                              <w:szCs w:val="20"/>
                            </w:rPr>
                            <w:t>25</w:t>
                          </w:r>
                          <w:r w:rsidRPr="0058523B">
                            <w:rPr>
                              <w:b/>
                              <w:bCs/>
                              <w:color w:val="FFFFFF" w:themeColor="background1"/>
                              <w:szCs w:val="20"/>
                            </w:rPr>
                            <w:fldChar w:fldCharType="end"/>
                          </w:r>
                          <w:r>
                            <w:rPr>
                              <w:b/>
                              <w:bCs/>
                              <w:color w:val="FFFFFF" w:themeColor="background1"/>
                              <w:szCs w:val="20"/>
                            </w:rPr>
                            <w:t>/</w:t>
                          </w:r>
                          <w:r>
                            <w:rPr>
                              <w:b/>
                              <w:bCs/>
                              <w:color w:val="FFFFFF" w:themeColor="background1"/>
                              <w:szCs w:val="20"/>
                            </w:rPr>
                            <w:fldChar w:fldCharType="begin"/>
                          </w:r>
                          <w:r>
                            <w:rPr>
                              <w:b/>
                              <w:bCs/>
                              <w:color w:val="FFFFFF" w:themeColor="background1"/>
                              <w:szCs w:val="20"/>
                            </w:rPr>
                            <w:instrText xml:space="preserve"> NUMPAGES   \* MERGEFORMAT </w:instrText>
                          </w:r>
                          <w:r>
                            <w:rPr>
                              <w:b/>
                              <w:bCs/>
                              <w:color w:val="FFFFFF" w:themeColor="background1"/>
                              <w:szCs w:val="20"/>
                            </w:rPr>
                            <w:fldChar w:fldCharType="separate"/>
                          </w:r>
                          <w:r w:rsidR="00E53428">
                            <w:rPr>
                              <w:b/>
                              <w:bCs/>
                              <w:noProof/>
                              <w:color w:val="FFFFFF" w:themeColor="background1"/>
                              <w:szCs w:val="20"/>
                            </w:rPr>
                            <w:t>25</w:t>
                          </w:r>
                          <w:r>
                            <w:rPr>
                              <w:b/>
                              <w:bCs/>
                              <w:color w:val="FFFFFF" w:themeColor="background1"/>
                              <w:szCs w:val="20"/>
                            </w:rPr>
                            <w:fldChar w:fldCharType="end"/>
                          </w:r>
                        </w:p>
                      </w:txbxContent>
                    </wps:txbx>
                    <wps:bodyPr rot="0" vert="horz" wrap="square" lIns="0" tIns="45720" rIns="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Ellipse 12" o:spid="_x0000_s1027" type="#_x0000_t65" style="position:absolute;left:0;text-align:left;margin-left:472.65pt;margin-top:.8pt;width:30.05pt;height:36.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" o:allowincell="f" adj="18000" fillcolor="#7030a0" strokecolor="#7030a0">
              <v:shadow on="t" color="black" opacity="22937f" origin=",.5" offset="0,.63889mm"/>
              <v:textbox inset="0,,0">
                <w:txbxContent>
                  <w:p w:rsidR="00A11B84" w:rsidRPr="0058523B" w:rsidRDefault="00A11B84" w:rsidP="006B0623">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E53428" w:rsidRPr="00E53428">
                      <w:rPr>
                        <w:b/>
                        <w:bCs/>
                        <w:noProof/>
                        <w:color w:val="FFFFFF" w:themeColor="background1"/>
                        <w:szCs w:val="20"/>
                      </w:rPr>
                      <w:t>25</w:t>
                    </w:r>
                    <w:r w:rsidRPr="0058523B">
                      <w:rPr>
                        <w:b/>
                        <w:bCs/>
                        <w:color w:val="FFFFFF" w:themeColor="background1"/>
                        <w:szCs w:val="20"/>
                      </w:rPr>
                      <w:fldChar w:fldCharType="end"/>
                    </w:r>
                    <w:r>
                      <w:rPr>
                        <w:b/>
                        <w:bCs/>
                        <w:color w:val="FFFFFF" w:themeColor="background1"/>
                        <w:szCs w:val="20"/>
                      </w:rPr>
                      <w:t>/</w:t>
                    </w:r>
                    <w:r>
                      <w:rPr>
                        <w:b/>
                        <w:bCs/>
                        <w:color w:val="FFFFFF" w:themeColor="background1"/>
                        <w:szCs w:val="20"/>
                      </w:rPr>
                      <w:fldChar w:fldCharType="begin"/>
                    </w:r>
                    <w:r>
                      <w:rPr>
                        <w:b/>
                        <w:bCs/>
                        <w:color w:val="FFFFFF" w:themeColor="background1"/>
                        <w:szCs w:val="20"/>
                      </w:rPr>
                      <w:instrText xml:space="preserve"> NUMPAGES   \* MERGEFORMAT </w:instrText>
                    </w:r>
                    <w:r>
                      <w:rPr>
                        <w:b/>
                        <w:bCs/>
                        <w:color w:val="FFFFFF" w:themeColor="background1"/>
                        <w:szCs w:val="20"/>
                      </w:rPr>
                      <w:fldChar w:fldCharType="separate"/>
                    </w:r>
                    <w:r w:rsidR="00E53428">
                      <w:rPr>
                        <w:b/>
                        <w:bCs/>
                        <w:noProof/>
                        <w:color w:val="FFFFFF" w:themeColor="background1"/>
                        <w:szCs w:val="20"/>
                      </w:rPr>
                      <w:t>25</w:t>
                    </w:r>
                    <w:r>
                      <w:rPr>
                        <w:b/>
                        <w:bCs/>
                        <w:color w:val="FFFFFF" w:themeColor="background1"/>
                        <w:szCs w:val="20"/>
                      </w:rPr>
                      <w:fldChar w:fldCharType="end"/>
                    </w:r>
                  </w:p>
                </w:txbxContent>
              </v:textbox>
              <w10:wrap anchorx="margin" anchory="margin"/>
            </v:shape>
          </w:pict>
        </mc:Fallback>
      </mc:AlternateContent>
    </w:r>
    <w:r>
      <w:rPr>
        <w:noProof/>
        <w:lang w:eastAsia="fr-FR"/>
      </w:rPr>
      <mc:AlternateContent>
        <mc:Choice Requires="wps">
          <w:drawing>
            <wp:anchor distT="0" distB="0" distL="114300" distR="114300" simplePos="0" relativeHeight="251666432" behindDoc="0" locked="0" layoutInCell="1" allowOverlap="1" wp14:anchorId="28992A92" wp14:editId="1702E847">
              <wp:simplePos x="0" y="0"/>
              <wp:positionH relativeFrom="column">
                <wp:posOffset>-196410</wp:posOffset>
              </wp:positionH>
              <wp:positionV relativeFrom="paragraph">
                <wp:posOffset>444723</wp:posOffset>
              </wp:positionV>
              <wp:extent cx="30145" cy="9475596"/>
              <wp:effectExtent l="0" t="0" r="27305" b="11430"/>
              <wp:wrapNone/>
              <wp:docPr id="13" name="Connecteur droit 13"/>
              <wp:cNvGraphicFramePr/>
              <a:graphic xmlns:a="http://schemas.openxmlformats.org/drawingml/2006/main">
                <a:graphicData uri="http://schemas.microsoft.com/office/word/2010/wordprocessingShape">
                  <wps:wsp>
                    <wps:cNvCnPr/>
                    <wps:spPr>
                      <a:xfrm>
                        <a:off x="0" y="0"/>
                        <a:ext cx="30145" cy="9475596"/>
                      </a:xfrm>
                      <a:prstGeom prst="line">
                        <a:avLst/>
                      </a:prstGeom>
                      <a:ln w="19050">
                        <a:solidFill>
                          <a:srgbClr val="7030A0"/>
                        </a:solidFill>
                        <a:headEnd w="sm" len="sm"/>
                        <a:tailEnd w="med"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5pt,35pt" to="-13.1pt,78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" strokecolor="#7030a0" strokeweight="1.5pt">
              <v:stroke startarrowwidth="narrow" startarrowlength="short" endarrowlength="long"/>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4625"/>
    <w:multiLevelType w:val="hybridMultilevel"/>
    <w:tmpl w:val="78EA2B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16B277B"/>
    <w:multiLevelType w:val="hybridMultilevel"/>
    <w:tmpl w:val="ADF8879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
    <w:nsid w:val="098C034A"/>
    <w:multiLevelType w:val="hybridMultilevel"/>
    <w:tmpl w:val="AFA848E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
    <w:nsid w:val="0B5A2D46"/>
    <w:multiLevelType w:val="hybridMultilevel"/>
    <w:tmpl w:val="2C3EB80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4">
    <w:nsid w:val="125F725E"/>
    <w:multiLevelType w:val="hybridMultilevel"/>
    <w:tmpl w:val="DE4CC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BAD6EA9"/>
    <w:multiLevelType w:val="hybridMultilevel"/>
    <w:tmpl w:val="2B54BB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059220B"/>
    <w:multiLevelType w:val="hybridMultilevel"/>
    <w:tmpl w:val="6FE0460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7">
    <w:nsid w:val="24C608D6"/>
    <w:multiLevelType w:val="hybridMultilevel"/>
    <w:tmpl w:val="2182E57A"/>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8">
    <w:nsid w:val="25E90E65"/>
    <w:multiLevelType w:val="hybridMultilevel"/>
    <w:tmpl w:val="E92AB7D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9">
    <w:nsid w:val="276500E2"/>
    <w:multiLevelType w:val="hybridMultilevel"/>
    <w:tmpl w:val="26A29A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CB60A93"/>
    <w:multiLevelType w:val="hybridMultilevel"/>
    <w:tmpl w:val="C886462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1">
    <w:nsid w:val="2D8D2C8A"/>
    <w:multiLevelType w:val="hybridMultilevel"/>
    <w:tmpl w:val="ECAC2B8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2">
    <w:nsid w:val="339D43B1"/>
    <w:multiLevelType w:val="hybridMultilevel"/>
    <w:tmpl w:val="4E462F3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3">
    <w:nsid w:val="343C1538"/>
    <w:multiLevelType w:val="hybridMultilevel"/>
    <w:tmpl w:val="516855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57B6FB7"/>
    <w:multiLevelType w:val="hybridMultilevel"/>
    <w:tmpl w:val="03A402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5814D2F"/>
    <w:multiLevelType w:val="multilevel"/>
    <w:tmpl w:val="6092231A"/>
    <w:lvl w:ilvl="0">
      <w:start w:val="1"/>
      <w:numFmt w:val="decimal"/>
      <w:lvlText w:val="Section %100."/>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lowerLetter"/>
      <w:pStyle w:val="Titre5"/>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59C4D40"/>
    <w:multiLevelType w:val="hybridMultilevel"/>
    <w:tmpl w:val="92E83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70575A2"/>
    <w:multiLevelType w:val="hybridMultilevel"/>
    <w:tmpl w:val="1F9E6D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97C7EE9"/>
    <w:multiLevelType w:val="hybridMultilevel"/>
    <w:tmpl w:val="4644FD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B6E3198"/>
    <w:multiLevelType w:val="hybridMultilevel"/>
    <w:tmpl w:val="B28AF6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FC9519D"/>
    <w:multiLevelType w:val="hybridMultilevel"/>
    <w:tmpl w:val="5AFC0C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0AC3675"/>
    <w:multiLevelType w:val="hybridMultilevel"/>
    <w:tmpl w:val="522A9A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1EA7A43"/>
    <w:multiLevelType w:val="hybridMultilevel"/>
    <w:tmpl w:val="E16CA91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6C10EB5"/>
    <w:multiLevelType w:val="hybridMultilevel"/>
    <w:tmpl w:val="CB7015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8193B0A"/>
    <w:multiLevelType w:val="hybridMultilevel"/>
    <w:tmpl w:val="5442D5F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5">
    <w:nsid w:val="4BDC0247"/>
    <w:multiLevelType w:val="hybridMultilevel"/>
    <w:tmpl w:val="101093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D562DB8"/>
    <w:multiLevelType w:val="hybridMultilevel"/>
    <w:tmpl w:val="2B06EE1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7">
    <w:nsid w:val="4D782FE8"/>
    <w:multiLevelType w:val="multilevel"/>
    <w:tmpl w:val="1BBA1464"/>
    <w:lvl w:ilvl="0">
      <w:start w:val="1"/>
      <w:numFmt w:val="decimal"/>
      <w:pStyle w:val="Titre1"/>
      <w:lvlText w:val="Section %10."/>
      <w:lvlJc w:val="left"/>
      <w:pPr>
        <w:ind w:left="360" w:hanging="360"/>
      </w:pPr>
      <w:rPr>
        <w:rFonts w:hint="default"/>
      </w:rPr>
    </w:lvl>
    <w:lvl w:ilvl="1">
      <w:start w:val="1"/>
      <w:numFmt w:val="decimal"/>
      <w:pStyle w:val="Titre2"/>
      <w:lvlText w:val="%2."/>
      <w:lvlJc w:val="left"/>
      <w:pPr>
        <w:ind w:left="792" w:hanging="432"/>
      </w:pPr>
      <w:rPr>
        <w:rFonts w:hint="default"/>
      </w:rPr>
    </w:lvl>
    <w:lvl w:ilvl="2">
      <w:start w:val="1"/>
      <w:numFmt w:val="decimal"/>
      <w:pStyle w:val="Titre3"/>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4131C6A"/>
    <w:multiLevelType w:val="hybridMultilevel"/>
    <w:tmpl w:val="7CEC07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76A3FA5"/>
    <w:multiLevelType w:val="hybridMultilevel"/>
    <w:tmpl w:val="CA0A83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BFA61D5"/>
    <w:multiLevelType w:val="hybridMultilevel"/>
    <w:tmpl w:val="FFFAD32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1">
    <w:nsid w:val="5C127349"/>
    <w:multiLevelType w:val="hybridMultilevel"/>
    <w:tmpl w:val="36607BA0"/>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32">
    <w:nsid w:val="5E936AB8"/>
    <w:multiLevelType w:val="hybridMultilevel"/>
    <w:tmpl w:val="B1EAF0E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3">
    <w:nsid w:val="5F482308"/>
    <w:multiLevelType w:val="hybridMultilevel"/>
    <w:tmpl w:val="4F3060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1EC6109"/>
    <w:multiLevelType w:val="hybridMultilevel"/>
    <w:tmpl w:val="C2D62410"/>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5">
    <w:nsid w:val="63613C05"/>
    <w:multiLevelType w:val="hybridMultilevel"/>
    <w:tmpl w:val="A4606A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5C4661A"/>
    <w:multiLevelType w:val="hybridMultilevel"/>
    <w:tmpl w:val="1D00CE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F6F3924"/>
    <w:multiLevelType w:val="hybridMultilevel"/>
    <w:tmpl w:val="B7F0FED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8">
    <w:nsid w:val="70DC6A7E"/>
    <w:multiLevelType w:val="hybridMultilevel"/>
    <w:tmpl w:val="4752A3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20E5FAF"/>
    <w:multiLevelType w:val="hybridMultilevel"/>
    <w:tmpl w:val="28B277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4F11EE4"/>
    <w:multiLevelType w:val="hybridMultilevel"/>
    <w:tmpl w:val="747E71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81E73AC"/>
    <w:multiLevelType w:val="hybridMultilevel"/>
    <w:tmpl w:val="BD9A4C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94C1E0E"/>
    <w:multiLevelType w:val="hybridMultilevel"/>
    <w:tmpl w:val="A04E7F3A"/>
    <w:lvl w:ilvl="0" w:tplc="2A0C756C">
      <w:numFmt w:val="bullet"/>
      <w:lvlText w:val="-"/>
      <w:lvlJc w:val="left"/>
      <w:pPr>
        <w:tabs>
          <w:tab w:val="num" w:pos="720"/>
        </w:tabs>
        <w:ind w:left="720" w:hanging="360"/>
      </w:pPr>
      <w:rPr>
        <w:rFonts w:ascii="Arial" w:eastAsia="Times New Roman" w:hAnsi="Arial" w:cs="Aria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3">
    <w:nsid w:val="7A9905BA"/>
    <w:multiLevelType w:val="hybridMultilevel"/>
    <w:tmpl w:val="BB8442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C326B69"/>
    <w:multiLevelType w:val="hybridMultilevel"/>
    <w:tmpl w:val="BCBE54D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45">
    <w:nsid w:val="7D1A20AD"/>
    <w:multiLevelType w:val="multilevel"/>
    <w:tmpl w:val="8C2C01B6"/>
    <w:lvl w:ilvl="0">
      <w:start w:val="10"/>
      <w:numFmt w:val="decimal"/>
      <w:pStyle w:val="CACTitre1"/>
      <w:lvlText w:val="Section %10."/>
      <w:lvlJc w:val="left"/>
      <w:pPr>
        <w:ind w:left="360" w:hanging="360"/>
      </w:pPr>
      <w:rPr>
        <w:rFonts w:hint="default"/>
      </w:rPr>
    </w:lvl>
    <w:lvl w:ilvl="1">
      <w:start w:val="1"/>
      <w:numFmt w:val="decimal"/>
      <w:pStyle w:val="CACTitre2"/>
      <w:lvlText w:val="%2."/>
      <w:lvlJc w:val="left"/>
      <w:pPr>
        <w:ind w:left="792" w:hanging="432"/>
      </w:pPr>
      <w:rPr>
        <w:rFonts w:hint="default"/>
      </w:rPr>
    </w:lvl>
    <w:lvl w:ilvl="2">
      <w:start w:val="1"/>
      <w:numFmt w:val="decimal"/>
      <w:pStyle w:val="CACTitre3"/>
      <w:lvlText w:val="%2.%3."/>
      <w:lvlJc w:val="left"/>
      <w:pPr>
        <w:ind w:left="1224" w:hanging="504"/>
      </w:pPr>
      <w:rPr>
        <w:rFonts w:hint="default"/>
      </w:rPr>
    </w:lvl>
    <w:lvl w:ilvl="3">
      <w:start w:val="1"/>
      <w:numFmt w:val="decimal"/>
      <w:pStyle w:val="CACTitre4"/>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7D5B5A35"/>
    <w:multiLevelType w:val="hybridMultilevel"/>
    <w:tmpl w:val="C67E63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5"/>
  </w:num>
  <w:num w:numId="2">
    <w:abstractNumId w:val="15"/>
  </w:num>
  <w:num w:numId="3">
    <w:abstractNumId w:val="27"/>
  </w:num>
  <w:num w:numId="4">
    <w:abstractNumId w:val="45"/>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5"/>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2"/>
  </w:num>
  <w:num w:numId="7">
    <w:abstractNumId w:val="8"/>
  </w:num>
  <w:num w:numId="8">
    <w:abstractNumId w:val="1"/>
  </w:num>
  <w:num w:numId="9">
    <w:abstractNumId w:val="30"/>
  </w:num>
  <w:num w:numId="10">
    <w:abstractNumId w:val="24"/>
  </w:num>
  <w:num w:numId="11">
    <w:abstractNumId w:val="11"/>
  </w:num>
  <w:num w:numId="12">
    <w:abstractNumId w:val="10"/>
  </w:num>
  <w:num w:numId="13">
    <w:abstractNumId w:val="37"/>
  </w:num>
  <w:num w:numId="14">
    <w:abstractNumId w:val="32"/>
  </w:num>
  <w:num w:numId="15">
    <w:abstractNumId w:val="26"/>
  </w:num>
  <w:num w:numId="16">
    <w:abstractNumId w:val="2"/>
  </w:num>
  <w:num w:numId="17">
    <w:abstractNumId w:val="12"/>
  </w:num>
  <w:num w:numId="18">
    <w:abstractNumId w:val="7"/>
  </w:num>
  <w:num w:numId="19">
    <w:abstractNumId w:val="34"/>
  </w:num>
  <w:num w:numId="20">
    <w:abstractNumId w:val="6"/>
  </w:num>
  <w:num w:numId="21">
    <w:abstractNumId w:val="3"/>
  </w:num>
  <w:num w:numId="22">
    <w:abstractNumId w:val="44"/>
  </w:num>
  <w:num w:numId="23">
    <w:abstractNumId w:val="39"/>
  </w:num>
  <w:num w:numId="24">
    <w:abstractNumId w:val="38"/>
  </w:num>
  <w:num w:numId="25">
    <w:abstractNumId w:val="4"/>
  </w:num>
  <w:num w:numId="26">
    <w:abstractNumId w:val="29"/>
  </w:num>
  <w:num w:numId="27">
    <w:abstractNumId w:val="13"/>
  </w:num>
  <w:num w:numId="28">
    <w:abstractNumId w:val="43"/>
  </w:num>
  <w:num w:numId="29">
    <w:abstractNumId w:val="23"/>
  </w:num>
  <w:num w:numId="30">
    <w:abstractNumId w:val="46"/>
  </w:num>
  <w:num w:numId="31">
    <w:abstractNumId w:val="14"/>
  </w:num>
  <w:num w:numId="32">
    <w:abstractNumId w:val="9"/>
  </w:num>
  <w:num w:numId="33">
    <w:abstractNumId w:val="21"/>
  </w:num>
  <w:num w:numId="34">
    <w:abstractNumId w:val="0"/>
  </w:num>
  <w:num w:numId="35">
    <w:abstractNumId w:val="22"/>
  </w:num>
  <w:num w:numId="36">
    <w:abstractNumId w:val="25"/>
  </w:num>
  <w:num w:numId="37">
    <w:abstractNumId w:val="35"/>
  </w:num>
  <w:num w:numId="38">
    <w:abstractNumId w:val="31"/>
  </w:num>
  <w:num w:numId="39">
    <w:abstractNumId w:val="41"/>
  </w:num>
  <w:num w:numId="40">
    <w:abstractNumId w:val="19"/>
  </w:num>
  <w:num w:numId="41">
    <w:abstractNumId w:val="33"/>
  </w:num>
  <w:num w:numId="42">
    <w:abstractNumId w:val="16"/>
  </w:num>
  <w:num w:numId="43">
    <w:abstractNumId w:val="17"/>
  </w:num>
  <w:num w:numId="44">
    <w:abstractNumId w:val="18"/>
  </w:num>
  <w:num w:numId="45">
    <w:abstractNumId w:val="40"/>
  </w:num>
  <w:num w:numId="46">
    <w:abstractNumId w:val="36"/>
  </w:num>
  <w:num w:numId="47">
    <w:abstractNumId w:val="20"/>
  </w:num>
  <w:num w:numId="48">
    <w:abstractNumId w:val="5"/>
  </w:num>
  <w:num w:numId="49">
    <w:abstractNumId w:val="28"/>
  </w:num>
  <w:num w:numId="50">
    <w:abstractNumId w:val="45"/>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C6D"/>
    <w:rsid w:val="0000725B"/>
    <w:rsid w:val="00010881"/>
    <w:rsid w:val="00015278"/>
    <w:rsid w:val="00022AB2"/>
    <w:rsid w:val="0002760D"/>
    <w:rsid w:val="00032F60"/>
    <w:rsid w:val="00034926"/>
    <w:rsid w:val="000A208C"/>
    <w:rsid w:val="000D236B"/>
    <w:rsid w:val="000D6C13"/>
    <w:rsid w:val="00116522"/>
    <w:rsid w:val="001231AF"/>
    <w:rsid w:val="0012765C"/>
    <w:rsid w:val="00165177"/>
    <w:rsid w:val="001A2723"/>
    <w:rsid w:val="001B0BCE"/>
    <w:rsid w:val="00223A30"/>
    <w:rsid w:val="00232D74"/>
    <w:rsid w:val="00235B02"/>
    <w:rsid w:val="0027523B"/>
    <w:rsid w:val="00282E09"/>
    <w:rsid w:val="00283853"/>
    <w:rsid w:val="0028777F"/>
    <w:rsid w:val="002A06C9"/>
    <w:rsid w:val="002C3791"/>
    <w:rsid w:val="002C594E"/>
    <w:rsid w:val="002D4C6D"/>
    <w:rsid w:val="002E3B5B"/>
    <w:rsid w:val="002F4958"/>
    <w:rsid w:val="00370257"/>
    <w:rsid w:val="00374FE8"/>
    <w:rsid w:val="00396A8D"/>
    <w:rsid w:val="003B7949"/>
    <w:rsid w:val="003C0504"/>
    <w:rsid w:val="003E5E9F"/>
    <w:rsid w:val="00400B7A"/>
    <w:rsid w:val="00405446"/>
    <w:rsid w:val="004210AD"/>
    <w:rsid w:val="00453544"/>
    <w:rsid w:val="00464668"/>
    <w:rsid w:val="00470965"/>
    <w:rsid w:val="0048204F"/>
    <w:rsid w:val="0049164E"/>
    <w:rsid w:val="00507E43"/>
    <w:rsid w:val="00510FB1"/>
    <w:rsid w:val="005309CE"/>
    <w:rsid w:val="0058523B"/>
    <w:rsid w:val="00590552"/>
    <w:rsid w:val="005C0C2F"/>
    <w:rsid w:val="005C4DDC"/>
    <w:rsid w:val="005C5414"/>
    <w:rsid w:val="005D1AC7"/>
    <w:rsid w:val="00656DF2"/>
    <w:rsid w:val="00684825"/>
    <w:rsid w:val="006A665B"/>
    <w:rsid w:val="006B0623"/>
    <w:rsid w:val="00706B95"/>
    <w:rsid w:val="007430C0"/>
    <w:rsid w:val="00747FC1"/>
    <w:rsid w:val="0079078B"/>
    <w:rsid w:val="007B72A5"/>
    <w:rsid w:val="007E0487"/>
    <w:rsid w:val="00822370"/>
    <w:rsid w:val="00827DD2"/>
    <w:rsid w:val="0086530A"/>
    <w:rsid w:val="008B1B1A"/>
    <w:rsid w:val="008C3C87"/>
    <w:rsid w:val="00917252"/>
    <w:rsid w:val="00952337"/>
    <w:rsid w:val="00985251"/>
    <w:rsid w:val="009F2684"/>
    <w:rsid w:val="00A11B84"/>
    <w:rsid w:val="00A12123"/>
    <w:rsid w:val="00A157BB"/>
    <w:rsid w:val="00A521C4"/>
    <w:rsid w:val="00A94979"/>
    <w:rsid w:val="00A97E14"/>
    <w:rsid w:val="00AA5D89"/>
    <w:rsid w:val="00AB6EEF"/>
    <w:rsid w:val="00AE6E57"/>
    <w:rsid w:val="00AE782A"/>
    <w:rsid w:val="00AF3C27"/>
    <w:rsid w:val="00AF58A5"/>
    <w:rsid w:val="00B66734"/>
    <w:rsid w:val="00BA15AB"/>
    <w:rsid w:val="00BC0BFC"/>
    <w:rsid w:val="00BE37AB"/>
    <w:rsid w:val="00BF15E4"/>
    <w:rsid w:val="00BF1BD6"/>
    <w:rsid w:val="00C17ACF"/>
    <w:rsid w:val="00C404FC"/>
    <w:rsid w:val="00C41132"/>
    <w:rsid w:val="00C436FD"/>
    <w:rsid w:val="00C802FA"/>
    <w:rsid w:val="00C975B7"/>
    <w:rsid w:val="00CA35AB"/>
    <w:rsid w:val="00CA45DC"/>
    <w:rsid w:val="00CD4EF4"/>
    <w:rsid w:val="00CF0659"/>
    <w:rsid w:val="00D4068A"/>
    <w:rsid w:val="00D47C40"/>
    <w:rsid w:val="00D66390"/>
    <w:rsid w:val="00DA2B39"/>
    <w:rsid w:val="00DC617E"/>
    <w:rsid w:val="00E00632"/>
    <w:rsid w:val="00E50D53"/>
    <w:rsid w:val="00E50D9E"/>
    <w:rsid w:val="00E53428"/>
    <w:rsid w:val="00E64FC3"/>
    <w:rsid w:val="00E74A62"/>
    <w:rsid w:val="00EB04D7"/>
    <w:rsid w:val="00EB2DBB"/>
    <w:rsid w:val="00EB3AEC"/>
    <w:rsid w:val="00EC2488"/>
    <w:rsid w:val="00EE5E04"/>
    <w:rsid w:val="00EF2621"/>
    <w:rsid w:val="00F00733"/>
    <w:rsid w:val="00F04F2D"/>
    <w:rsid w:val="00F05CB7"/>
    <w:rsid w:val="00F072B9"/>
    <w:rsid w:val="00F178CD"/>
    <w:rsid w:val="00F360EB"/>
    <w:rsid w:val="00F63429"/>
    <w:rsid w:val="00F6595F"/>
    <w:rsid w:val="00F726BB"/>
    <w:rsid w:val="00F91BC0"/>
    <w:rsid w:val="00F93ACF"/>
    <w:rsid w:val="00FA0079"/>
    <w:rsid w:val="00FA0A35"/>
    <w:rsid w:val="00FD30CD"/>
    <w:rsid w:val="00FD3E5B"/>
    <w:rsid w:val="00FF3328"/>
    <w:rsid w:val="00FF4BA9"/>
    <w:rsid w:val="00FF79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DC"/>
    <w:pPr>
      <w:jc w:val="both"/>
    </w:pPr>
    <w:rPr>
      <w:rFonts w:ascii="Calibri" w:hAnsi="Calibri"/>
    </w:rPr>
  </w:style>
  <w:style w:type="paragraph" w:styleId="Titre1">
    <w:name w:val="heading 1"/>
    <w:basedOn w:val="Normal"/>
    <w:next w:val="Normal"/>
    <w:link w:val="Titre1Car"/>
    <w:qFormat/>
    <w:rsid w:val="00CA45DC"/>
    <w:pPr>
      <w:keepNext/>
      <w:keepLines/>
      <w:numPr>
        <w:numId w:val="3"/>
      </w:numPr>
      <w:tabs>
        <w:tab w:val="left" w:pos="1843"/>
      </w:tabs>
      <w:spacing w:before="480" w:after="480"/>
      <w:ind w:right="425"/>
      <w:jc w:val="left"/>
      <w:outlineLvl w:val="0"/>
    </w:pPr>
    <w:rPr>
      <w:rFonts w:eastAsiaTheme="majorEastAsia" w:cstheme="majorBidi"/>
      <w:b/>
      <w:bCs/>
      <w:caps/>
      <w:color w:val="B06C96" w:themeColor="accent2"/>
      <w:sz w:val="32"/>
      <w:szCs w:val="28"/>
    </w:rPr>
  </w:style>
  <w:style w:type="paragraph" w:styleId="Titre2">
    <w:name w:val="heading 2"/>
    <w:basedOn w:val="Normal"/>
    <w:next w:val="Normal"/>
    <w:link w:val="Titre2Car"/>
    <w:autoRedefine/>
    <w:unhideWhenUsed/>
    <w:qFormat/>
    <w:rsid w:val="00CA45DC"/>
    <w:pPr>
      <w:keepNext/>
      <w:keepLines/>
      <w:numPr>
        <w:ilvl w:val="1"/>
        <w:numId w:val="3"/>
      </w:numPr>
      <w:tabs>
        <w:tab w:val="left" w:pos="993"/>
      </w:tabs>
      <w:spacing w:before="240" w:after="240"/>
      <w:jc w:val="left"/>
      <w:outlineLvl w:val="1"/>
    </w:pPr>
    <w:rPr>
      <w:rFonts w:eastAsiaTheme="majorEastAsia" w:cs="Calibri"/>
      <w:b/>
      <w:bCs/>
      <w:color w:val="FF0000"/>
      <w:sz w:val="26"/>
      <w:szCs w:val="26"/>
    </w:rPr>
  </w:style>
  <w:style w:type="paragraph" w:styleId="Titre3">
    <w:name w:val="heading 3"/>
    <w:basedOn w:val="Normal"/>
    <w:next w:val="Normal"/>
    <w:link w:val="Titre3Car"/>
    <w:autoRedefine/>
    <w:unhideWhenUsed/>
    <w:qFormat/>
    <w:rsid w:val="00CA45DC"/>
    <w:pPr>
      <w:keepNext/>
      <w:keepLines/>
      <w:numPr>
        <w:ilvl w:val="2"/>
        <w:numId w:val="3"/>
      </w:numPr>
      <w:tabs>
        <w:tab w:val="left" w:pos="1701"/>
      </w:tabs>
      <w:jc w:val="left"/>
      <w:outlineLvl w:val="2"/>
    </w:pPr>
    <w:rPr>
      <w:rFonts w:eastAsiaTheme="majorEastAsia" w:cstheme="majorBidi"/>
      <w:b/>
      <w:bCs/>
      <w:caps/>
      <w:color w:val="9D9D9D" w:themeColor="background2" w:themeShade="BF"/>
      <w:sz w:val="24"/>
    </w:rPr>
  </w:style>
  <w:style w:type="paragraph" w:styleId="Titre4">
    <w:name w:val="heading 4"/>
    <w:basedOn w:val="Normal"/>
    <w:next w:val="Normal"/>
    <w:link w:val="Titre4Car"/>
    <w:autoRedefine/>
    <w:semiHidden/>
    <w:unhideWhenUsed/>
    <w:qFormat/>
    <w:rsid w:val="00CA45DC"/>
    <w:pPr>
      <w:keepNext/>
      <w:keepLines/>
      <w:tabs>
        <w:tab w:val="left" w:pos="567"/>
      </w:tabs>
      <w:spacing w:before="120"/>
      <w:outlineLvl w:val="3"/>
    </w:pPr>
    <w:rPr>
      <w:rFonts w:eastAsiaTheme="majorEastAsia" w:cstheme="majorBidi"/>
      <w:b/>
      <w:bCs/>
      <w:iCs/>
      <w:color w:val="B06C96" w:themeColor="accent2"/>
      <w:u w:val="single"/>
    </w:rPr>
  </w:style>
  <w:style w:type="paragraph" w:styleId="Titre5">
    <w:name w:val="heading 5"/>
    <w:basedOn w:val="Normal"/>
    <w:next w:val="Normal"/>
    <w:link w:val="Titre5Car"/>
    <w:autoRedefine/>
    <w:semiHidden/>
    <w:unhideWhenUsed/>
    <w:qFormat/>
    <w:rsid w:val="00CA45DC"/>
    <w:pPr>
      <w:keepNext/>
      <w:keepLines/>
      <w:numPr>
        <w:ilvl w:val="4"/>
        <w:numId w:val="2"/>
      </w:numPr>
      <w:spacing w:before="200"/>
      <w:outlineLvl w:val="4"/>
    </w:pPr>
    <w:rPr>
      <w:rFonts w:eastAsiaTheme="majorEastAsia" w:cstheme="majorBidi"/>
      <w:b/>
      <w:color w:val="8A4A71" w:themeColor="accent2" w:themeShade="BF"/>
      <w:u w:val="single"/>
    </w:rPr>
  </w:style>
  <w:style w:type="paragraph" w:styleId="Titre6">
    <w:name w:val="heading 6"/>
    <w:basedOn w:val="Normal"/>
    <w:next w:val="Normal"/>
    <w:link w:val="Titre6Car"/>
    <w:uiPriority w:val="9"/>
    <w:semiHidden/>
    <w:unhideWhenUsed/>
    <w:qFormat/>
    <w:rsid w:val="00CA45DC"/>
    <w:pPr>
      <w:keepNext/>
      <w:keepLines/>
      <w:spacing w:before="200"/>
      <w:outlineLvl w:val="5"/>
    </w:pPr>
    <w:rPr>
      <w:rFonts w:asciiTheme="majorHAnsi" w:eastAsiaTheme="majorEastAsia" w:hAnsiTheme="majorHAnsi" w:cstheme="majorBidi"/>
      <w:i/>
      <w:iCs/>
      <w:color w:val="301628" w:themeColor="accent1" w:themeShade="7F"/>
    </w:rPr>
  </w:style>
  <w:style w:type="paragraph" w:styleId="Titre7">
    <w:name w:val="heading 7"/>
    <w:basedOn w:val="Normal"/>
    <w:next w:val="Normal"/>
    <w:link w:val="Titre7Car"/>
    <w:qFormat/>
    <w:rsid w:val="00CA45DC"/>
    <w:pPr>
      <w:keepNext/>
      <w:jc w:val="left"/>
      <w:outlineLvl w:val="6"/>
    </w:pPr>
    <w:rPr>
      <w:rFonts w:ascii="Arial" w:eastAsiaTheme="majorEastAsia" w:hAnsi="Arial" w:cs="Arial"/>
      <w:b/>
      <w:szCs w:val="24"/>
    </w:rPr>
  </w:style>
  <w:style w:type="paragraph" w:styleId="Titre8">
    <w:name w:val="heading 8"/>
    <w:basedOn w:val="Normal"/>
    <w:next w:val="Normal"/>
    <w:link w:val="Titre8Car"/>
    <w:qFormat/>
    <w:rsid w:val="00CA45DC"/>
    <w:pPr>
      <w:keepNext/>
      <w:ind w:left="-993"/>
      <w:jc w:val="left"/>
      <w:outlineLvl w:val="7"/>
    </w:pPr>
    <w:rPr>
      <w:rFonts w:ascii="Arial" w:eastAsiaTheme="majorEastAsia" w:hAnsi="Arial" w:cstheme="majorBidi"/>
      <w:b/>
      <w:bCs/>
      <w:szCs w:val="20"/>
    </w:rPr>
  </w:style>
  <w:style w:type="paragraph" w:styleId="Titre9">
    <w:name w:val="heading 9"/>
    <w:basedOn w:val="Normal"/>
    <w:next w:val="Normal"/>
    <w:link w:val="Titre9Car"/>
    <w:qFormat/>
    <w:rsid w:val="00CA45DC"/>
    <w:pPr>
      <w:keepNext/>
      <w:spacing w:before="40" w:after="40"/>
      <w:jc w:val="left"/>
      <w:outlineLvl w:val="8"/>
    </w:pPr>
    <w:rPr>
      <w:rFonts w:ascii="Arial" w:eastAsiaTheme="majorEastAsia" w:hAnsi="Arial" w:cstheme="majorBidi"/>
      <w:b/>
      <w:color w:val="0000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45DC"/>
    <w:rPr>
      <w:rFonts w:ascii="Calibri" w:eastAsiaTheme="majorEastAsia" w:hAnsi="Calibri" w:cstheme="majorBidi"/>
      <w:b/>
      <w:bCs/>
      <w:caps/>
      <w:color w:val="B06C96" w:themeColor="accent2"/>
      <w:sz w:val="32"/>
      <w:szCs w:val="28"/>
    </w:rPr>
  </w:style>
  <w:style w:type="character" w:customStyle="1" w:styleId="Titre2Car">
    <w:name w:val="Titre 2 Car"/>
    <w:basedOn w:val="Policepardfaut"/>
    <w:link w:val="Titre2"/>
    <w:rsid w:val="00CA45DC"/>
    <w:rPr>
      <w:rFonts w:ascii="Calibri" w:eastAsiaTheme="majorEastAsia" w:hAnsi="Calibri" w:cs="Calibri"/>
      <w:b/>
      <w:bCs/>
      <w:color w:val="FF0000"/>
      <w:sz w:val="26"/>
      <w:szCs w:val="26"/>
    </w:rPr>
  </w:style>
  <w:style w:type="character" w:customStyle="1" w:styleId="Titre3Car">
    <w:name w:val="Titre 3 Car"/>
    <w:basedOn w:val="Policepardfaut"/>
    <w:link w:val="Titre3"/>
    <w:rsid w:val="00CA45DC"/>
    <w:rPr>
      <w:rFonts w:ascii="Calibri" w:eastAsiaTheme="majorEastAsia" w:hAnsi="Calibri" w:cstheme="majorBidi"/>
      <w:b/>
      <w:bCs/>
      <w:caps/>
      <w:color w:val="9D9D9D" w:themeColor="background2" w:themeShade="BF"/>
      <w:sz w:val="24"/>
    </w:rPr>
  </w:style>
  <w:style w:type="character" w:customStyle="1" w:styleId="Titre4Car">
    <w:name w:val="Titre 4 Car"/>
    <w:basedOn w:val="Policepardfaut"/>
    <w:link w:val="Titre4"/>
    <w:semiHidden/>
    <w:rsid w:val="00CA45DC"/>
    <w:rPr>
      <w:rFonts w:ascii="Calibri" w:eastAsiaTheme="majorEastAsia" w:hAnsi="Calibri" w:cstheme="majorBidi"/>
      <w:b/>
      <w:bCs/>
      <w:iCs/>
      <w:color w:val="B06C96" w:themeColor="accent2"/>
      <w:u w:val="single"/>
    </w:rPr>
  </w:style>
  <w:style w:type="character" w:customStyle="1" w:styleId="Titre5Car">
    <w:name w:val="Titre 5 Car"/>
    <w:basedOn w:val="Policepardfaut"/>
    <w:link w:val="Titre5"/>
    <w:semiHidden/>
    <w:rsid w:val="00CA45DC"/>
    <w:rPr>
      <w:rFonts w:ascii="Calibri" w:eastAsiaTheme="majorEastAsia" w:hAnsi="Calibri" w:cstheme="majorBidi"/>
      <w:b/>
      <w:color w:val="8A4A71" w:themeColor="accent2" w:themeShade="BF"/>
      <w:u w:val="single"/>
    </w:rPr>
  </w:style>
  <w:style w:type="character" w:customStyle="1" w:styleId="Titre6Car">
    <w:name w:val="Titre 6 Car"/>
    <w:basedOn w:val="Policepardfaut"/>
    <w:link w:val="Titre6"/>
    <w:uiPriority w:val="9"/>
    <w:semiHidden/>
    <w:rsid w:val="00CA45DC"/>
    <w:rPr>
      <w:rFonts w:asciiTheme="majorHAnsi" w:eastAsiaTheme="majorEastAsia" w:hAnsiTheme="majorHAnsi" w:cstheme="majorBidi"/>
      <w:i/>
      <w:iCs/>
      <w:color w:val="301628" w:themeColor="accent1" w:themeShade="7F"/>
    </w:rPr>
  </w:style>
  <w:style w:type="character" w:customStyle="1" w:styleId="Titre7Car">
    <w:name w:val="Titre 7 Car"/>
    <w:basedOn w:val="Policepardfaut"/>
    <w:link w:val="Titre7"/>
    <w:rsid w:val="00CA45DC"/>
    <w:rPr>
      <w:rFonts w:ascii="Arial" w:eastAsiaTheme="majorEastAsia" w:hAnsi="Arial" w:cs="Arial"/>
      <w:b/>
      <w:szCs w:val="24"/>
    </w:rPr>
  </w:style>
  <w:style w:type="character" w:customStyle="1" w:styleId="Titre8Car">
    <w:name w:val="Titre 8 Car"/>
    <w:basedOn w:val="Policepardfaut"/>
    <w:link w:val="Titre8"/>
    <w:rsid w:val="00CA45DC"/>
    <w:rPr>
      <w:rFonts w:ascii="Arial" w:eastAsiaTheme="majorEastAsia" w:hAnsi="Arial" w:cstheme="majorBidi"/>
      <w:b/>
      <w:bCs/>
      <w:szCs w:val="20"/>
    </w:rPr>
  </w:style>
  <w:style w:type="character" w:customStyle="1" w:styleId="Titre9Car">
    <w:name w:val="Titre 9 Car"/>
    <w:basedOn w:val="Policepardfaut"/>
    <w:link w:val="Titre9"/>
    <w:rsid w:val="00CA45DC"/>
    <w:rPr>
      <w:rFonts w:ascii="Arial" w:eastAsiaTheme="majorEastAsia" w:hAnsi="Arial" w:cstheme="majorBidi"/>
      <w:b/>
      <w:color w:val="0000FF"/>
      <w:sz w:val="20"/>
      <w:szCs w:val="20"/>
    </w:rPr>
  </w:style>
  <w:style w:type="paragraph" w:styleId="Lgende">
    <w:name w:val="caption"/>
    <w:basedOn w:val="Normal"/>
    <w:next w:val="Normal"/>
    <w:uiPriority w:val="35"/>
    <w:semiHidden/>
    <w:unhideWhenUsed/>
    <w:qFormat/>
    <w:rsid w:val="00CA45DC"/>
    <w:pPr>
      <w:spacing w:after="200"/>
    </w:pPr>
    <w:rPr>
      <w:b/>
      <w:bCs/>
      <w:color w:val="612C51" w:themeColor="accent1"/>
      <w:sz w:val="18"/>
      <w:szCs w:val="18"/>
    </w:rPr>
  </w:style>
  <w:style w:type="paragraph" w:styleId="Titre">
    <w:name w:val="Title"/>
    <w:basedOn w:val="Normal"/>
    <w:link w:val="TitreCar"/>
    <w:qFormat/>
    <w:rsid w:val="00CA45DC"/>
    <w:pPr>
      <w:jc w:val="center"/>
    </w:pPr>
    <w:rPr>
      <w:rFonts w:ascii="Times New Roman" w:eastAsiaTheme="majorEastAsia" w:hAnsi="Times New Roman" w:cstheme="majorBidi"/>
      <w:b/>
      <w:caps/>
      <w:sz w:val="32"/>
      <w:szCs w:val="20"/>
    </w:rPr>
  </w:style>
  <w:style w:type="character" w:customStyle="1" w:styleId="TitreCar">
    <w:name w:val="Titre Car"/>
    <w:basedOn w:val="Policepardfaut"/>
    <w:link w:val="Titre"/>
    <w:rsid w:val="00CA45DC"/>
    <w:rPr>
      <w:rFonts w:ascii="Times New Roman" w:eastAsiaTheme="majorEastAsia" w:hAnsi="Times New Roman" w:cstheme="majorBidi"/>
      <w:b/>
      <w:caps/>
      <w:sz w:val="32"/>
      <w:szCs w:val="20"/>
    </w:rPr>
  </w:style>
  <w:style w:type="paragraph" w:styleId="Sous-titre">
    <w:name w:val="Subtitle"/>
    <w:basedOn w:val="Normal"/>
    <w:next w:val="Normal"/>
    <w:link w:val="Sous-titreCar"/>
    <w:uiPriority w:val="11"/>
    <w:qFormat/>
    <w:rsid w:val="00CA45DC"/>
    <w:pPr>
      <w:numPr>
        <w:ilvl w:val="1"/>
      </w:numPr>
    </w:pPr>
    <w:rPr>
      <w:rFonts w:asciiTheme="majorHAnsi" w:eastAsiaTheme="majorEastAsia" w:hAnsiTheme="majorHAnsi" w:cstheme="majorBidi"/>
      <w:i/>
      <w:iCs/>
      <w:color w:val="612C51" w:themeColor="accent1"/>
      <w:spacing w:val="15"/>
      <w:sz w:val="24"/>
      <w:szCs w:val="24"/>
    </w:rPr>
  </w:style>
  <w:style w:type="character" w:customStyle="1" w:styleId="Sous-titreCar">
    <w:name w:val="Sous-titre Car"/>
    <w:basedOn w:val="Policepardfaut"/>
    <w:link w:val="Sous-titre"/>
    <w:uiPriority w:val="11"/>
    <w:rsid w:val="00CA45DC"/>
    <w:rPr>
      <w:rFonts w:asciiTheme="majorHAnsi" w:eastAsiaTheme="majorEastAsia" w:hAnsiTheme="majorHAnsi" w:cstheme="majorBidi"/>
      <w:i/>
      <w:iCs/>
      <w:color w:val="612C51" w:themeColor="accent1"/>
      <w:spacing w:val="15"/>
      <w:sz w:val="24"/>
      <w:szCs w:val="24"/>
    </w:rPr>
  </w:style>
  <w:style w:type="character" w:styleId="lev">
    <w:name w:val="Strong"/>
    <w:uiPriority w:val="22"/>
    <w:qFormat/>
    <w:rsid w:val="00CA45DC"/>
    <w:rPr>
      <w:b/>
      <w:bCs/>
    </w:rPr>
  </w:style>
  <w:style w:type="character" w:styleId="Accentuation">
    <w:name w:val="Emphasis"/>
    <w:qFormat/>
    <w:rsid w:val="00CA45DC"/>
    <w:rPr>
      <w:i/>
      <w:iCs/>
    </w:rPr>
  </w:style>
  <w:style w:type="paragraph" w:styleId="Sansinterligne">
    <w:name w:val="No Spacing"/>
    <w:link w:val="SansinterligneCar"/>
    <w:uiPriority w:val="1"/>
    <w:qFormat/>
    <w:rsid w:val="00CA45DC"/>
    <w:rPr>
      <w:rFonts w:eastAsiaTheme="minorEastAsia"/>
    </w:rPr>
  </w:style>
  <w:style w:type="character" w:customStyle="1" w:styleId="SansinterligneCar">
    <w:name w:val="Sans interligne Car"/>
    <w:basedOn w:val="Policepardfaut"/>
    <w:link w:val="Sansinterligne"/>
    <w:uiPriority w:val="1"/>
    <w:rsid w:val="00CA45DC"/>
    <w:rPr>
      <w:rFonts w:eastAsiaTheme="minorEastAsia"/>
    </w:rPr>
  </w:style>
  <w:style w:type="paragraph" w:styleId="Paragraphedeliste">
    <w:name w:val="List Paragraph"/>
    <w:basedOn w:val="Normal"/>
    <w:link w:val="ParagraphedelisteCar"/>
    <w:uiPriority w:val="34"/>
    <w:qFormat/>
    <w:rsid w:val="00CA45DC"/>
    <w:pPr>
      <w:ind w:left="720"/>
      <w:contextualSpacing/>
    </w:pPr>
  </w:style>
  <w:style w:type="character" w:customStyle="1" w:styleId="ParagraphedelisteCar">
    <w:name w:val="Paragraphe de liste Car"/>
    <w:basedOn w:val="Policepardfaut"/>
    <w:link w:val="Paragraphedeliste"/>
    <w:uiPriority w:val="34"/>
    <w:rsid w:val="00CA45DC"/>
    <w:rPr>
      <w:rFonts w:ascii="Calibri" w:hAnsi="Calibri"/>
    </w:rPr>
  </w:style>
  <w:style w:type="paragraph" w:styleId="Citation">
    <w:name w:val="Quote"/>
    <w:basedOn w:val="Normal"/>
    <w:next w:val="Normal"/>
    <w:link w:val="CitationCar"/>
    <w:uiPriority w:val="29"/>
    <w:qFormat/>
    <w:rsid w:val="00CA45DC"/>
    <w:rPr>
      <w:i/>
      <w:iCs/>
      <w:color w:val="000000" w:themeColor="text1"/>
    </w:rPr>
  </w:style>
  <w:style w:type="character" w:customStyle="1" w:styleId="CitationCar">
    <w:name w:val="Citation Car"/>
    <w:basedOn w:val="Policepardfaut"/>
    <w:link w:val="Citation"/>
    <w:uiPriority w:val="29"/>
    <w:rsid w:val="00CA45DC"/>
    <w:rPr>
      <w:rFonts w:ascii="Calibri" w:hAnsi="Calibri"/>
      <w:i/>
      <w:iCs/>
      <w:color w:val="000000" w:themeColor="text1"/>
    </w:rPr>
  </w:style>
  <w:style w:type="paragraph" w:styleId="Citationintense">
    <w:name w:val="Intense Quote"/>
    <w:basedOn w:val="Normal"/>
    <w:next w:val="Normal"/>
    <w:link w:val="CitationintenseCar"/>
    <w:uiPriority w:val="30"/>
    <w:qFormat/>
    <w:rsid w:val="00CA45DC"/>
    <w:pPr>
      <w:pBdr>
        <w:bottom w:val="single" w:sz="4" w:space="4" w:color="612C51" w:themeColor="accent1"/>
      </w:pBdr>
      <w:spacing w:before="200" w:after="280"/>
      <w:ind w:left="936" w:right="936"/>
    </w:pPr>
    <w:rPr>
      <w:b/>
      <w:bCs/>
      <w:i/>
      <w:iCs/>
      <w:color w:val="612C51" w:themeColor="accent1"/>
    </w:rPr>
  </w:style>
  <w:style w:type="character" w:customStyle="1" w:styleId="CitationintenseCar">
    <w:name w:val="Citation intense Car"/>
    <w:basedOn w:val="Policepardfaut"/>
    <w:link w:val="Citationintense"/>
    <w:uiPriority w:val="30"/>
    <w:rsid w:val="00CA45DC"/>
    <w:rPr>
      <w:rFonts w:ascii="Calibri" w:hAnsi="Calibri"/>
      <w:b/>
      <w:bCs/>
      <w:i/>
      <w:iCs/>
      <w:color w:val="612C51" w:themeColor="accent1"/>
    </w:rPr>
  </w:style>
  <w:style w:type="character" w:styleId="Emphaseple">
    <w:name w:val="Subtle Emphasis"/>
    <w:uiPriority w:val="19"/>
    <w:qFormat/>
    <w:rsid w:val="00CA45DC"/>
    <w:rPr>
      <w:i/>
      <w:iCs/>
      <w:color w:val="808080" w:themeColor="text1" w:themeTint="7F"/>
    </w:rPr>
  </w:style>
  <w:style w:type="character" w:styleId="Emphaseintense">
    <w:name w:val="Intense Emphasis"/>
    <w:uiPriority w:val="21"/>
    <w:qFormat/>
    <w:rsid w:val="00CA45DC"/>
    <w:rPr>
      <w:b/>
      <w:bCs/>
      <w:i/>
      <w:iCs/>
      <w:color w:val="612C51" w:themeColor="accent1"/>
    </w:rPr>
  </w:style>
  <w:style w:type="character" w:styleId="Rfrenceple">
    <w:name w:val="Subtle Reference"/>
    <w:uiPriority w:val="31"/>
    <w:qFormat/>
    <w:rsid w:val="00CA45DC"/>
    <w:rPr>
      <w:smallCaps/>
      <w:color w:val="B06C96" w:themeColor="accent2"/>
      <w:u w:val="single"/>
    </w:rPr>
  </w:style>
  <w:style w:type="character" w:styleId="Rfrenceintense">
    <w:name w:val="Intense Reference"/>
    <w:uiPriority w:val="32"/>
    <w:qFormat/>
    <w:rsid w:val="00CA45DC"/>
    <w:rPr>
      <w:b/>
      <w:bCs/>
      <w:smallCaps/>
      <w:color w:val="B06C96" w:themeColor="accent2"/>
      <w:spacing w:val="5"/>
      <w:u w:val="single"/>
    </w:rPr>
  </w:style>
  <w:style w:type="character" w:styleId="Titredulivre">
    <w:name w:val="Book Title"/>
    <w:uiPriority w:val="33"/>
    <w:qFormat/>
    <w:rsid w:val="00CA45DC"/>
    <w:rPr>
      <w:b/>
      <w:bCs/>
      <w:smallCaps/>
      <w:spacing w:val="5"/>
    </w:rPr>
  </w:style>
  <w:style w:type="paragraph" w:styleId="En-ttedetabledesmatires">
    <w:name w:val="TOC Heading"/>
    <w:basedOn w:val="Titre1"/>
    <w:next w:val="Normal"/>
    <w:uiPriority w:val="39"/>
    <w:semiHidden/>
    <w:unhideWhenUsed/>
    <w:qFormat/>
    <w:rsid w:val="00CA45DC"/>
    <w:pPr>
      <w:numPr>
        <w:numId w:val="0"/>
      </w:numPr>
      <w:spacing w:after="0" w:line="276" w:lineRule="auto"/>
      <w:outlineLvl w:val="9"/>
    </w:pPr>
    <w:rPr>
      <w:rFonts w:asciiTheme="majorHAnsi" w:hAnsiTheme="majorHAnsi"/>
      <w:caps w:val="0"/>
      <w:color w:val="48213C" w:themeColor="accent1" w:themeShade="BF"/>
      <w:sz w:val="28"/>
    </w:rPr>
  </w:style>
  <w:style w:type="paragraph" w:customStyle="1" w:styleId="CACTitre10">
    <w:name w:val="CAC Titre 1"/>
    <w:basedOn w:val="Titre1"/>
    <w:link w:val="CACTitre1Car"/>
    <w:qFormat/>
    <w:rsid w:val="00CA45DC"/>
    <w:pPr>
      <w:numPr>
        <w:numId w:val="0"/>
      </w:numPr>
      <w:tabs>
        <w:tab w:val="clear" w:pos="1843"/>
        <w:tab w:val="left" w:pos="1985"/>
      </w:tabs>
      <w:ind w:left="1985" w:hanging="1985"/>
    </w:pPr>
  </w:style>
  <w:style w:type="character" w:customStyle="1" w:styleId="CACTitre1Car">
    <w:name w:val="CAC Titre 1 Car"/>
    <w:basedOn w:val="Titre1Car"/>
    <w:link w:val="CACTitre10"/>
    <w:rsid w:val="00CA45DC"/>
    <w:rPr>
      <w:rFonts w:ascii="Calibri" w:eastAsiaTheme="majorEastAsia" w:hAnsi="Calibri" w:cstheme="majorBidi"/>
      <w:b/>
      <w:bCs/>
      <w:caps/>
      <w:color w:val="B06C96" w:themeColor="accent2"/>
      <w:sz w:val="32"/>
      <w:szCs w:val="28"/>
    </w:rPr>
  </w:style>
  <w:style w:type="paragraph" w:customStyle="1" w:styleId="CACTitre1">
    <w:name w:val="CAC.Titre 1"/>
    <w:basedOn w:val="Paragraphedeliste"/>
    <w:link w:val="CACTitre1Car0"/>
    <w:autoRedefine/>
    <w:qFormat/>
    <w:rsid w:val="00827DD2"/>
    <w:pPr>
      <w:numPr>
        <w:numId w:val="1"/>
      </w:numPr>
    </w:pPr>
    <w:rPr>
      <w:b/>
      <w:caps/>
      <w:color w:val="7030A0"/>
      <w:sz w:val="28"/>
    </w:rPr>
  </w:style>
  <w:style w:type="character" w:customStyle="1" w:styleId="CACTitre1Car0">
    <w:name w:val="CAC.Titre 1 Car"/>
    <w:basedOn w:val="ParagraphedelisteCar"/>
    <w:link w:val="CACTitre1"/>
    <w:rsid w:val="00827DD2"/>
    <w:rPr>
      <w:rFonts w:ascii="Calibri" w:hAnsi="Calibri"/>
      <w:b/>
      <w:caps/>
      <w:color w:val="7030A0"/>
      <w:sz w:val="28"/>
    </w:rPr>
  </w:style>
  <w:style w:type="paragraph" w:customStyle="1" w:styleId="CACTitre2">
    <w:name w:val="CAC.Titre 2"/>
    <w:basedOn w:val="Paragraphedeliste"/>
    <w:link w:val="CACTitre2Car"/>
    <w:autoRedefine/>
    <w:qFormat/>
    <w:rsid w:val="00034926"/>
    <w:pPr>
      <w:numPr>
        <w:ilvl w:val="1"/>
        <w:numId w:val="1"/>
      </w:numPr>
    </w:pPr>
    <w:rPr>
      <w:b/>
      <w:color w:val="372430" w:themeColor="accent4" w:themeShade="BF"/>
      <w:sz w:val="28"/>
    </w:rPr>
  </w:style>
  <w:style w:type="character" w:customStyle="1" w:styleId="CACTitre2Car">
    <w:name w:val="CAC.Titre 2 Car"/>
    <w:basedOn w:val="ParagraphedelisteCar"/>
    <w:link w:val="CACTitre2"/>
    <w:rsid w:val="00034926"/>
    <w:rPr>
      <w:rFonts w:ascii="Calibri" w:hAnsi="Calibri"/>
      <w:b/>
      <w:color w:val="372430" w:themeColor="accent4" w:themeShade="BF"/>
      <w:sz w:val="28"/>
    </w:rPr>
  </w:style>
  <w:style w:type="paragraph" w:customStyle="1" w:styleId="CACTitre3">
    <w:name w:val="CAC.Titre 3"/>
    <w:basedOn w:val="Paragraphedeliste"/>
    <w:link w:val="CACTitre3Car"/>
    <w:autoRedefine/>
    <w:qFormat/>
    <w:rsid w:val="005C5414"/>
    <w:pPr>
      <w:numPr>
        <w:ilvl w:val="2"/>
        <w:numId w:val="1"/>
      </w:numPr>
    </w:pPr>
    <w:rPr>
      <w:b/>
      <w:color w:val="8A4A71" w:themeColor="accent2" w:themeShade="BF"/>
      <w:sz w:val="26"/>
    </w:rPr>
  </w:style>
  <w:style w:type="character" w:customStyle="1" w:styleId="CACTitre3Car">
    <w:name w:val="CAC.Titre 3 Car"/>
    <w:basedOn w:val="ParagraphedelisteCar"/>
    <w:link w:val="CACTitre3"/>
    <w:rsid w:val="005C5414"/>
    <w:rPr>
      <w:rFonts w:ascii="Calibri" w:hAnsi="Calibri"/>
      <w:b/>
      <w:color w:val="8A4A71" w:themeColor="accent2" w:themeShade="BF"/>
      <w:sz w:val="26"/>
    </w:rPr>
  </w:style>
  <w:style w:type="paragraph" w:customStyle="1" w:styleId="Style1">
    <w:name w:val="Style1"/>
    <w:basedOn w:val="Titre1"/>
    <w:qFormat/>
    <w:rsid w:val="00CA45DC"/>
    <w:pPr>
      <w:numPr>
        <w:numId w:val="0"/>
      </w:numPr>
      <w:spacing w:after="240"/>
    </w:pPr>
  </w:style>
  <w:style w:type="paragraph" w:customStyle="1" w:styleId="Style2">
    <w:name w:val="Style2"/>
    <w:basedOn w:val="Titre1"/>
    <w:autoRedefine/>
    <w:qFormat/>
    <w:rsid w:val="00CA45DC"/>
    <w:pPr>
      <w:numPr>
        <w:numId w:val="0"/>
      </w:numPr>
      <w:spacing w:after="240"/>
    </w:pPr>
  </w:style>
  <w:style w:type="paragraph" w:customStyle="1" w:styleId="Style3">
    <w:name w:val="Style3"/>
    <w:basedOn w:val="Titre3"/>
    <w:autoRedefine/>
    <w:qFormat/>
    <w:rsid w:val="00CA45DC"/>
    <w:pPr>
      <w:numPr>
        <w:ilvl w:val="0"/>
        <w:numId w:val="0"/>
      </w:numPr>
      <w:spacing w:before="120" w:after="120"/>
    </w:pPr>
  </w:style>
  <w:style w:type="paragraph" w:customStyle="1" w:styleId="Style4">
    <w:name w:val="Style4"/>
    <w:basedOn w:val="Titre3"/>
    <w:autoRedefine/>
    <w:qFormat/>
    <w:rsid w:val="00CA45DC"/>
    <w:pPr>
      <w:numPr>
        <w:ilvl w:val="0"/>
        <w:numId w:val="0"/>
      </w:numPr>
      <w:spacing w:after="120"/>
    </w:pPr>
  </w:style>
  <w:style w:type="paragraph" w:customStyle="1" w:styleId="Style5">
    <w:name w:val="Style5"/>
    <w:basedOn w:val="Titre3"/>
    <w:autoRedefine/>
    <w:qFormat/>
    <w:rsid w:val="00CA45DC"/>
    <w:pPr>
      <w:numPr>
        <w:ilvl w:val="0"/>
        <w:numId w:val="0"/>
      </w:numPr>
      <w:spacing w:after="120"/>
    </w:pPr>
  </w:style>
  <w:style w:type="paragraph" w:customStyle="1" w:styleId="CACTitre4">
    <w:name w:val="CAC.Titre 4"/>
    <w:basedOn w:val="Paragraphedeliste"/>
    <w:link w:val="CACTitre4Car"/>
    <w:autoRedefine/>
    <w:qFormat/>
    <w:rsid w:val="005C5414"/>
    <w:pPr>
      <w:numPr>
        <w:ilvl w:val="3"/>
        <w:numId w:val="1"/>
      </w:numPr>
    </w:pPr>
    <w:rPr>
      <w:b/>
      <w:color w:val="7030A0"/>
      <w:u w:val="single"/>
    </w:rPr>
  </w:style>
  <w:style w:type="character" w:customStyle="1" w:styleId="CACTitre4Car">
    <w:name w:val="CAC.Titre 4 Car"/>
    <w:basedOn w:val="ParagraphedelisteCar"/>
    <w:link w:val="CACTitre4"/>
    <w:rsid w:val="005C5414"/>
    <w:rPr>
      <w:rFonts w:ascii="Calibri" w:hAnsi="Calibri"/>
      <w:b/>
      <w:color w:val="7030A0"/>
      <w:u w:val="single"/>
    </w:rPr>
  </w:style>
  <w:style w:type="paragraph" w:customStyle="1" w:styleId="CACTitre5">
    <w:name w:val="CAC.Titre 5"/>
    <w:basedOn w:val="Paragraphedeliste"/>
    <w:link w:val="CACTitre5Car"/>
    <w:autoRedefine/>
    <w:qFormat/>
    <w:rsid w:val="005C5414"/>
    <w:pPr>
      <w:ind w:left="1418" w:firstLine="22"/>
    </w:pPr>
    <w:rPr>
      <w:color w:val="7030A0"/>
    </w:rPr>
  </w:style>
  <w:style w:type="character" w:customStyle="1" w:styleId="CACTitre5Car">
    <w:name w:val="CAC.Titre 5 Car"/>
    <w:basedOn w:val="ParagraphedelisteCar"/>
    <w:link w:val="CACTitre5"/>
    <w:rsid w:val="005C5414"/>
    <w:rPr>
      <w:rFonts w:ascii="Calibri" w:hAnsi="Calibri"/>
      <w:color w:val="7030A0"/>
    </w:rPr>
  </w:style>
  <w:style w:type="paragraph" w:customStyle="1" w:styleId="CACCorps">
    <w:name w:val="CAC.Corps"/>
    <w:basedOn w:val="Normal"/>
    <w:link w:val="CACCorpsCar"/>
    <w:qFormat/>
    <w:rsid w:val="00FD3E5B"/>
    <w:pPr>
      <w:ind w:left="46"/>
    </w:pPr>
  </w:style>
  <w:style w:type="character" w:customStyle="1" w:styleId="CACCorpsCar">
    <w:name w:val="CAC.Corps Car"/>
    <w:basedOn w:val="Policepardfaut"/>
    <w:link w:val="CACCorps"/>
    <w:rsid w:val="00FD3E5B"/>
    <w:rPr>
      <w:rFonts w:ascii="Calibri" w:hAnsi="Calibri"/>
    </w:rPr>
  </w:style>
  <w:style w:type="paragraph" w:styleId="Notedebasdepage">
    <w:name w:val="footnote text"/>
    <w:basedOn w:val="Normal"/>
    <w:link w:val="NotedebasdepageCar"/>
    <w:uiPriority w:val="99"/>
    <w:semiHidden/>
    <w:unhideWhenUsed/>
    <w:rsid w:val="00706B95"/>
    <w:rPr>
      <w:sz w:val="20"/>
      <w:szCs w:val="20"/>
    </w:rPr>
  </w:style>
  <w:style w:type="character" w:customStyle="1" w:styleId="NotedebasdepageCar">
    <w:name w:val="Note de bas de page Car"/>
    <w:basedOn w:val="Policepardfaut"/>
    <w:link w:val="Notedebasdepage"/>
    <w:uiPriority w:val="99"/>
    <w:rsid w:val="00706B95"/>
    <w:rPr>
      <w:rFonts w:ascii="Calibri" w:hAnsi="Calibri"/>
      <w:sz w:val="20"/>
      <w:szCs w:val="20"/>
    </w:rPr>
  </w:style>
  <w:style w:type="character" w:styleId="Appelnotedebasdep">
    <w:name w:val="footnote reference"/>
    <w:basedOn w:val="Policepardfaut"/>
    <w:uiPriority w:val="99"/>
    <w:semiHidden/>
    <w:unhideWhenUsed/>
    <w:rsid w:val="00706B95"/>
    <w:rPr>
      <w:vertAlign w:val="superscript"/>
    </w:rPr>
  </w:style>
  <w:style w:type="table" w:customStyle="1" w:styleId="TableNormal">
    <w:name w:val="Table Normal"/>
    <w:uiPriority w:val="2"/>
    <w:semiHidden/>
    <w:unhideWhenUsed/>
    <w:qFormat/>
    <w:rsid w:val="00985251"/>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85251"/>
    <w:pPr>
      <w:widowControl w:val="0"/>
      <w:jc w:val="left"/>
    </w:pPr>
    <w:rPr>
      <w:rFonts w:asciiTheme="minorHAnsi" w:hAnsiTheme="minorHAnsi"/>
      <w:lang w:val="en-US"/>
    </w:rPr>
  </w:style>
  <w:style w:type="paragraph" w:styleId="Textedebulles">
    <w:name w:val="Balloon Text"/>
    <w:basedOn w:val="Normal"/>
    <w:link w:val="TextedebullesCar"/>
    <w:uiPriority w:val="99"/>
    <w:semiHidden/>
    <w:unhideWhenUsed/>
    <w:rsid w:val="001231AF"/>
    <w:rPr>
      <w:rFonts w:ascii="Tahoma" w:hAnsi="Tahoma" w:cs="Tahoma"/>
      <w:sz w:val="16"/>
      <w:szCs w:val="16"/>
    </w:rPr>
  </w:style>
  <w:style w:type="character" w:customStyle="1" w:styleId="TextedebullesCar">
    <w:name w:val="Texte de bulles Car"/>
    <w:basedOn w:val="Policepardfaut"/>
    <w:link w:val="Textedebulles"/>
    <w:uiPriority w:val="99"/>
    <w:semiHidden/>
    <w:rsid w:val="001231AF"/>
    <w:rPr>
      <w:rFonts w:ascii="Tahoma" w:hAnsi="Tahoma" w:cs="Tahoma"/>
      <w:sz w:val="16"/>
      <w:szCs w:val="16"/>
    </w:rPr>
  </w:style>
  <w:style w:type="paragraph" w:styleId="TM1">
    <w:name w:val="toc 1"/>
    <w:basedOn w:val="Normal"/>
    <w:next w:val="Normal"/>
    <w:autoRedefine/>
    <w:uiPriority w:val="39"/>
    <w:unhideWhenUsed/>
    <w:rsid w:val="00827DD2"/>
    <w:pPr>
      <w:tabs>
        <w:tab w:val="left" w:pos="1320"/>
        <w:tab w:val="right" w:leader="dot" w:pos="9062"/>
      </w:tabs>
      <w:spacing w:after="100"/>
    </w:pPr>
    <w:rPr>
      <w:rFonts w:asciiTheme="minorHAnsi" w:hAnsiTheme="minorHAnsi"/>
      <w:b/>
      <w:noProof/>
      <w:color w:val="7030A0"/>
      <w:sz w:val="20"/>
    </w:rPr>
  </w:style>
  <w:style w:type="paragraph" w:styleId="TM2">
    <w:name w:val="toc 2"/>
    <w:basedOn w:val="Normal"/>
    <w:next w:val="Normal"/>
    <w:autoRedefine/>
    <w:uiPriority w:val="39"/>
    <w:unhideWhenUsed/>
    <w:rsid w:val="00EB2DBB"/>
    <w:pPr>
      <w:spacing w:after="100"/>
      <w:ind w:left="220"/>
    </w:pPr>
  </w:style>
  <w:style w:type="paragraph" w:styleId="TM3">
    <w:name w:val="toc 3"/>
    <w:basedOn w:val="Normal"/>
    <w:next w:val="Normal"/>
    <w:autoRedefine/>
    <w:uiPriority w:val="39"/>
    <w:unhideWhenUsed/>
    <w:rsid w:val="00EB2DBB"/>
    <w:pPr>
      <w:spacing w:after="100"/>
      <w:ind w:left="440"/>
    </w:pPr>
  </w:style>
  <w:style w:type="character" w:styleId="Lienhypertexte">
    <w:name w:val="Hyperlink"/>
    <w:basedOn w:val="Policepardfaut"/>
    <w:uiPriority w:val="99"/>
    <w:unhideWhenUsed/>
    <w:rsid w:val="00EB2DBB"/>
    <w:rPr>
      <w:color w:val="17BBFD" w:themeColor="hyperlink"/>
      <w:u w:val="single"/>
    </w:rPr>
  </w:style>
  <w:style w:type="paragraph" w:styleId="TM4">
    <w:name w:val="toc 4"/>
    <w:basedOn w:val="Normal"/>
    <w:next w:val="Normal"/>
    <w:autoRedefine/>
    <w:uiPriority w:val="39"/>
    <w:unhideWhenUsed/>
    <w:rsid w:val="0002760D"/>
    <w:pPr>
      <w:spacing w:after="100" w:line="276" w:lineRule="auto"/>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02760D"/>
    <w:pPr>
      <w:spacing w:after="100" w:line="276" w:lineRule="auto"/>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02760D"/>
    <w:pPr>
      <w:spacing w:after="100" w:line="276" w:lineRule="auto"/>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02760D"/>
    <w:pPr>
      <w:spacing w:after="100" w:line="276" w:lineRule="auto"/>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02760D"/>
    <w:pPr>
      <w:spacing w:after="100" w:line="276" w:lineRule="auto"/>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02760D"/>
    <w:pPr>
      <w:spacing w:after="100" w:line="276" w:lineRule="auto"/>
      <w:ind w:left="1760"/>
      <w:jc w:val="left"/>
    </w:pPr>
    <w:rPr>
      <w:rFonts w:asciiTheme="minorHAnsi" w:eastAsiaTheme="minorEastAsia" w:hAnsiTheme="minorHAnsi"/>
      <w:lang w:eastAsia="fr-FR"/>
    </w:rPr>
  </w:style>
  <w:style w:type="paragraph" w:styleId="En-tte">
    <w:name w:val="header"/>
    <w:basedOn w:val="Normal"/>
    <w:link w:val="En-tteCar"/>
    <w:uiPriority w:val="99"/>
    <w:unhideWhenUsed/>
    <w:rsid w:val="006B0623"/>
    <w:pPr>
      <w:tabs>
        <w:tab w:val="center" w:pos="4536"/>
        <w:tab w:val="right" w:pos="9072"/>
      </w:tabs>
    </w:pPr>
  </w:style>
  <w:style w:type="character" w:customStyle="1" w:styleId="En-tteCar">
    <w:name w:val="En-tête Car"/>
    <w:basedOn w:val="Policepardfaut"/>
    <w:link w:val="En-tte"/>
    <w:uiPriority w:val="99"/>
    <w:rsid w:val="006B0623"/>
    <w:rPr>
      <w:rFonts w:ascii="Calibri" w:hAnsi="Calibri"/>
    </w:rPr>
  </w:style>
  <w:style w:type="paragraph" w:styleId="Pieddepage">
    <w:name w:val="footer"/>
    <w:basedOn w:val="Normal"/>
    <w:link w:val="PieddepageCar"/>
    <w:uiPriority w:val="99"/>
    <w:unhideWhenUsed/>
    <w:rsid w:val="006B0623"/>
    <w:pPr>
      <w:tabs>
        <w:tab w:val="center" w:pos="4536"/>
        <w:tab w:val="right" w:pos="9072"/>
      </w:tabs>
    </w:pPr>
  </w:style>
  <w:style w:type="character" w:customStyle="1" w:styleId="PieddepageCar">
    <w:name w:val="Pied de page Car"/>
    <w:basedOn w:val="Policepardfaut"/>
    <w:link w:val="Pieddepage"/>
    <w:uiPriority w:val="99"/>
    <w:rsid w:val="006B0623"/>
    <w:rPr>
      <w:rFonts w:ascii="Calibri" w:hAnsi="Calibri"/>
    </w:rPr>
  </w:style>
  <w:style w:type="table" w:styleId="Listeclaire-Accent1">
    <w:name w:val="Light List Accent 1"/>
    <w:basedOn w:val="TableauNormal"/>
    <w:uiPriority w:val="61"/>
    <w:rsid w:val="00CD4EF4"/>
    <w:tblPr>
      <w:tblStyleRowBandSize w:val="1"/>
      <w:tblStyleColBandSize w:val="1"/>
      <w:tblInd w:w="0" w:type="dxa"/>
      <w:tblBorders>
        <w:top w:val="single" w:sz="8" w:space="0" w:color="612C51" w:themeColor="accent1"/>
        <w:left w:val="single" w:sz="8" w:space="0" w:color="612C51" w:themeColor="accent1"/>
        <w:bottom w:val="single" w:sz="8" w:space="0" w:color="612C51" w:themeColor="accent1"/>
        <w:right w:val="single" w:sz="8" w:space="0" w:color="612C5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12C51" w:themeFill="accent1"/>
      </w:tcPr>
    </w:tblStylePr>
    <w:tblStylePr w:type="lastRow">
      <w:pPr>
        <w:spacing w:before="0" w:after="0" w:line="240" w:lineRule="auto"/>
      </w:pPr>
      <w:rPr>
        <w:b/>
        <w:bCs/>
      </w:rPr>
      <w:tblPr/>
      <w:tcPr>
        <w:tcBorders>
          <w:top w:val="double" w:sz="6" w:space="0" w:color="612C51" w:themeColor="accent1"/>
          <w:left w:val="single" w:sz="8" w:space="0" w:color="612C51" w:themeColor="accent1"/>
          <w:bottom w:val="single" w:sz="8" w:space="0" w:color="612C51" w:themeColor="accent1"/>
          <w:right w:val="single" w:sz="8" w:space="0" w:color="612C51" w:themeColor="accent1"/>
        </w:tcBorders>
      </w:tcPr>
    </w:tblStylePr>
    <w:tblStylePr w:type="firstCol">
      <w:rPr>
        <w:b/>
        <w:bCs/>
      </w:rPr>
    </w:tblStylePr>
    <w:tblStylePr w:type="lastCol">
      <w:rPr>
        <w:b/>
        <w:bCs/>
      </w:rPr>
    </w:tblStylePr>
    <w:tblStylePr w:type="band1Vert">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tblStylePr w:type="band1Horz">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style>
  <w:style w:type="character" w:styleId="Lienhypertextesuivivisit">
    <w:name w:val="FollowedHyperlink"/>
    <w:basedOn w:val="Policepardfaut"/>
    <w:uiPriority w:val="99"/>
    <w:semiHidden/>
    <w:unhideWhenUsed/>
    <w:rsid w:val="00A11B84"/>
    <w:rPr>
      <w:color w:val="FF79C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DC"/>
    <w:pPr>
      <w:jc w:val="both"/>
    </w:pPr>
    <w:rPr>
      <w:rFonts w:ascii="Calibri" w:hAnsi="Calibri"/>
    </w:rPr>
  </w:style>
  <w:style w:type="paragraph" w:styleId="Titre1">
    <w:name w:val="heading 1"/>
    <w:basedOn w:val="Normal"/>
    <w:next w:val="Normal"/>
    <w:link w:val="Titre1Car"/>
    <w:qFormat/>
    <w:rsid w:val="00CA45DC"/>
    <w:pPr>
      <w:keepNext/>
      <w:keepLines/>
      <w:numPr>
        <w:numId w:val="3"/>
      </w:numPr>
      <w:tabs>
        <w:tab w:val="left" w:pos="1843"/>
      </w:tabs>
      <w:spacing w:before="480" w:after="480"/>
      <w:ind w:right="425"/>
      <w:jc w:val="left"/>
      <w:outlineLvl w:val="0"/>
    </w:pPr>
    <w:rPr>
      <w:rFonts w:eastAsiaTheme="majorEastAsia" w:cstheme="majorBidi"/>
      <w:b/>
      <w:bCs/>
      <w:caps/>
      <w:color w:val="B06C96" w:themeColor="accent2"/>
      <w:sz w:val="32"/>
      <w:szCs w:val="28"/>
    </w:rPr>
  </w:style>
  <w:style w:type="paragraph" w:styleId="Titre2">
    <w:name w:val="heading 2"/>
    <w:basedOn w:val="Normal"/>
    <w:next w:val="Normal"/>
    <w:link w:val="Titre2Car"/>
    <w:autoRedefine/>
    <w:unhideWhenUsed/>
    <w:qFormat/>
    <w:rsid w:val="00CA45DC"/>
    <w:pPr>
      <w:keepNext/>
      <w:keepLines/>
      <w:numPr>
        <w:ilvl w:val="1"/>
        <w:numId w:val="3"/>
      </w:numPr>
      <w:tabs>
        <w:tab w:val="left" w:pos="993"/>
      </w:tabs>
      <w:spacing w:before="240" w:after="240"/>
      <w:jc w:val="left"/>
      <w:outlineLvl w:val="1"/>
    </w:pPr>
    <w:rPr>
      <w:rFonts w:eastAsiaTheme="majorEastAsia" w:cs="Calibri"/>
      <w:b/>
      <w:bCs/>
      <w:color w:val="FF0000"/>
      <w:sz w:val="26"/>
      <w:szCs w:val="26"/>
    </w:rPr>
  </w:style>
  <w:style w:type="paragraph" w:styleId="Titre3">
    <w:name w:val="heading 3"/>
    <w:basedOn w:val="Normal"/>
    <w:next w:val="Normal"/>
    <w:link w:val="Titre3Car"/>
    <w:autoRedefine/>
    <w:unhideWhenUsed/>
    <w:qFormat/>
    <w:rsid w:val="00CA45DC"/>
    <w:pPr>
      <w:keepNext/>
      <w:keepLines/>
      <w:numPr>
        <w:ilvl w:val="2"/>
        <w:numId w:val="3"/>
      </w:numPr>
      <w:tabs>
        <w:tab w:val="left" w:pos="1701"/>
      </w:tabs>
      <w:jc w:val="left"/>
      <w:outlineLvl w:val="2"/>
    </w:pPr>
    <w:rPr>
      <w:rFonts w:eastAsiaTheme="majorEastAsia" w:cstheme="majorBidi"/>
      <w:b/>
      <w:bCs/>
      <w:caps/>
      <w:color w:val="9D9D9D" w:themeColor="background2" w:themeShade="BF"/>
      <w:sz w:val="24"/>
    </w:rPr>
  </w:style>
  <w:style w:type="paragraph" w:styleId="Titre4">
    <w:name w:val="heading 4"/>
    <w:basedOn w:val="Normal"/>
    <w:next w:val="Normal"/>
    <w:link w:val="Titre4Car"/>
    <w:autoRedefine/>
    <w:semiHidden/>
    <w:unhideWhenUsed/>
    <w:qFormat/>
    <w:rsid w:val="00CA45DC"/>
    <w:pPr>
      <w:keepNext/>
      <w:keepLines/>
      <w:tabs>
        <w:tab w:val="left" w:pos="567"/>
      </w:tabs>
      <w:spacing w:before="120"/>
      <w:outlineLvl w:val="3"/>
    </w:pPr>
    <w:rPr>
      <w:rFonts w:eastAsiaTheme="majorEastAsia" w:cstheme="majorBidi"/>
      <w:b/>
      <w:bCs/>
      <w:iCs/>
      <w:color w:val="B06C96" w:themeColor="accent2"/>
      <w:u w:val="single"/>
    </w:rPr>
  </w:style>
  <w:style w:type="paragraph" w:styleId="Titre5">
    <w:name w:val="heading 5"/>
    <w:basedOn w:val="Normal"/>
    <w:next w:val="Normal"/>
    <w:link w:val="Titre5Car"/>
    <w:autoRedefine/>
    <w:semiHidden/>
    <w:unhideWhenUsed/>
    <w:qFormat/>
    <w:rsid w:val="00CA45DC"/>
    <w:pPr>
      <w:keepNext/>
      <w:keepLines/>
      <w:numPr>
        <w:ilvl w:val="4"/>
        <w:numId w:val="2"/>
      </w:numPr>
      <w:spacing w:before="200"/>
      <w:outlineLvl w:val="4"/>
    </w:pPr>
    <w:rPr>
      <w:rFonts w:eastAsiaTheme="majorEastAsia" w:cstheme="majorBidi"/>
      <w:b/>
      <w:color w:val="8A4A71" w:themeColor="accent2" w:themeShade="BF"/>
      <w:u w:val="single"/>
    </w:rPr>
  </w:style>
  <w:style w:type="paragraph" w:styleId="Titre6">
    <w:name w:val="heading 6"/>
    <w:basedOn w:val="Normal"/>
    <w:next w:val="Normal"/>
    <w:link w:val="Titre6Car"/>
    <w:uiPriority w:val="9"/>
    <w:semiHidden/>
    <w:unhideWhenUsed/>
    <w:qFormat/>
    <w:rsid w:val="00CA45DC"/>
    <w:pPr>
      <w:keepNext/>
      <w:keepLines/>
      <w:spacing w:before="200"/>
      <w:outlineLvl w:val="5"/>
    </w:pPr>
    <w:rPr>
      <w:rFonts w:asciiTheme="majorHAnsi" w:eastAsiaTheme="majorEastAsia" w:hAnsiTheme="majorHAnsi" w:cstheme="majorBidi"/>
      <w:i/>
      <w:iCs/>
      <w:color w:val="301628" w:themeColor="accent1" w:themeShade="7F"/>
    </w:rPr>
  </w:style>
  <w:style w:type="paragraph" w:styleId="Titre7">
    <w:name w:val="heading 7"/>
    <w:basedOn w:val="Normal"/>
    <w:next w:val="Normal"/>
    <w:link w:val="Titre7Car"/>
    <w:qFormat/>
    <w:rsid w:val="00CA45DC"/>
    <w:pPr>
      <w:keepNext/>
      <w:jc w:val="left"/>
      <w:outlineLvl w:val="6"/>
    </w:pPr>
    <w:rPr>
      <w:rFonts w:ascii="Arial" w:eastAsiaTheme="majorEastAsia" w:hAnsi="Arial" w:cs="Arial"/>
      <w:b/>
      <w:szCs w:val="24"/>
    </w:rPr>
  </w:style>
  <w:style w:type="paragraph" w:styleId="Titre8">
    <w:name w:val="heading 8"/>
    <w:basedOn w:val="Normal"/>
    <w:next w:val="Normal"/>
    <w:link w:val="Titre8Car"/>
    <w:qFormat/>
    <w:rsid w:val="00CA45DC"/>
    <w:pPr>
      <w:keepNext/>
      <w:ind w:left="-993"/>
      <w:jc w:val="left"/>
      <w:outlineLvl w:val="7"/>
    </w:pPr>
    <w:rPr>
      <w:rFonts w:ascii="Arial" w:eastAsiaTheme="majorEastAsia" w:hAnsi="Arial" w:cstheme="majorBidi"/>
      <w:b/>
      <w:bCs/>
      <w:szCs w:val="20"/>
    </w:rPr>
  </w:style>
  <w:style w:type="paragraph" w:styleId="Titre9">
    <w:name w:val="heading 9"/>
    <w:basedOn w:val="Normal"/>
    <w:next w:val="Normal"/>
    <w:link w:val="Titre9Car"/>
    <w:qFormat/>
    <w:rsid w:val="00CA45DC"/>
    <w:pPr>
      <w:keepNext/>
      <w:spacing w:before="40" w:after="40"/>
      <w:jc w:val="left"/>
      <w:outlineLvl w:val="8"/>
    </w:pPr>
    <w:rPr>
      <w:rFonts w:ascii="Arial" w:eastAsiaTheme="majorEastAsia" w:hAnsi="Arial" w:cstheme="majorBidi"/>
      <w:b/>
      <w:color w:val="0000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45DC"/>
    <w:rPr>
      <w:rFonts w:ascii="Calibri" w:eastAsiaTheme="majorEastAsia" w:hAnsi="Calibri" w:cstheme="majorBidi"/>
      <w:b/>
      <w:bCs/>
      <w:caps/>
      <w:color w:val="B06C96" w:themeColor="accent2"/>
      <w:sz w:val="32"/>
      <w:szCs w:val="28"/>
    </w:rPr>
  </w:style>
  <w:style w:type="character" w:customStyle="1" w:styleId="Titre2Car">
    <w:name w:val="Titre 2 Car"/>
    <w:basedOn w:val="Policepardfaut"/>
    <w:link w:val="Titre2"/>
    <w:rsid w:val="00CA45DC"/>
    <w:rPr>
      <w:rFonts w:ascii="Calibri" w:eastAsiaTheme="majorEastAsia" w:hAnsi="Calibri" w:cs="Calibri"/>
      <w:b/>
      <w:bCs/>
      <w:color w:val="FF0000"/>
      <w:sz w:val="26"/>
      <w:szCs w:val="26"/>
    </w:rPr>
  </w:style>
  <w:style w:type="character" w:customStyle="1" w:styleId="Titre3Car">
    <w:name w:val="Titre 3 Car"/>
    <w:basedOn w:val="Policepardfaut"/>
    <w:link w:val="Titre3"/>
    <w:rsid w:val="00CA45DC"/>
    <w:rPr>
      <w:rFonts w:ascii="Calibri" w:eastAsiaTheme="majorEastAsia" w:hAnsi="Calibri" w:cstheme="majorBidi"/>
      <w:b/>
      <w:bCs/>
      <w:caps/>
      <w:color w:val="9D9D9D" w:themeColor="background2" w:themeShade="BF"/>
      <w:sz w:val="24"/>
    </w:rPr>
  </w:style>
  <w:style w:type="character" w:customStyle="1" w:styleId="Titre4Car">
    <w:name w:val="Titre 4 Car"/>
    <w:basedOn w:val="Policepardfaut"/>
    <w:link w:val="Titre4"/>
    <w:semiHidden/>
    <w:rsid w:val="00CA45DC"/>
    <w:rPr>
      <w:rFonts w:ascii="Calibri" w:eastAsiaTheme="majorEastAsia" w:hAnsi="Calibri" w:cstheme="majorBidi"/>
      <w:b/>
      <w:bCs/>
      <w:iCs/>
      <w:color w:val="B06C96" w:themeColor="accent2"/>
      <w:u w:val="single"/>
    </w:rPr>
  </w:style>
  <w:style w:type="character" w:customStyle="1" w:styleId="Titre5Car">
    <w:name w:val="Titre 5 Car"/>
    <w:basedOn w:val="Policepardfaut"/>
    <w:link w:val="Titre5"/>
    <w:semiHidden/>
    <w:rsid w:val="00CA45DC"/>
    <w:rPr>
      <w:rFonts w:ascii="Calibri" w:eastAsiaTheme="majorEastAsia" w:hAnsi="Calibri" w:cstheme="majorBidi"/>
      <w:b/>
      <w:color w:val="8A4A71" w:themeColor="accent2" w:themeShade="BF"/>
      <w:u w:val="single"/>
    </w:rPr>
  </w:style>
  <w:style w:type="character" w:customStyle="1" w:styleId="Titre6Car">
    <w:name w:val="Titre 6 Car"/>
    <w:basedOn w:val="Policepardfaut"/>
    <w:link w:val="Titre6"/>
    <w:uiPriority w:val="9"/>
    <w:semiHidden/>
    <w:rsid w:val="00CA45DC"/>
    <w:rPr>
      <w:rFonts w:asciiTheme="majorHAnsi" w:eastAsiaTheme="majorEastAsia" w:hAnsiTheme="majorHAnsi" w:cstheme="majorBidi"/>
      <w:i/>
      <w:iCs/>
      <w:color w:val="301628" w:themeColor="accent1" w:themeShade="7F"/>
    </w:rPr>
  </w:style>
  <w:style w:type="character" w:customStyle="1" w:styleId="Titre7Car">
    <w:name w:val="Titre 7 Car"/>
    <w:basedOn w:val="Policepardfaut"/>
    <w:link w:val="Titre7"/>
    <w:rsid w:val="00CA45DC"/>
    <w:rPr>
      <w:rFonts w:ascii="Arial" w:eastAsiaTheme="majorEastAsia" w:hAnsi="Arial" w:cs="Arial"/>
      <w:b/>
      <w:szCs w:val="24"/>
    </w:rPr>
  </w:style>
  <w:style w:type="character" w:customStyle="1" w:styleId="Titre8Car">
    <w:name w:val="Titre 8 Car"/>
    <w:basedOn w:val="Policepardfaut"/>
    <w:link w:val="Titre8"/>
    <w:rsid w:val="00CA45DC"/>
    <w:rPr>
      <w:rFonts w:ascii="Arial" w:eastAsiaTheme="majorEastAsia" w:hAnsi="Arial" w:cstheme="majorBidi"/>
      <w:b/>
      <w:bCs/>
      <w:szCs w:val="20"/>
    </w:rPr>
  </w:style>
  <w:style w:type="character" w:customStyle="1" w:styleId="Titre9Car">
    <w:name w:val="Titre 9 Car"/>
    <w:basedOn w:val="Policepardfaut"/>
    <w:link w:val="Titre9"/>
    <w:rsid w:val="00CA45DC"/>
    <w:rPr>
      <w:rFonts w:ascii="Arial" w:eastAsiaTheme="majorEastAsia" w:hAnsi="Arial" w:cstheme="majorBidi"/>
      <w:b/>
      <w:color w:val="0000FF"/>
      <w:sz w:val="20"/>
      <w:szCs w:val="20"/>
    </w:rPr>
  </w:style>
  <w:style w:type="paragraph" w:styleId="Lgende">
    <w:name w:val="caption"/>
    <w:basedOn w:val="Normal"/>
    <w:next w:val="Normal"/>
    <w:uiPriority w:val="35"/>
    <w:semiHidden/>
    <w:unhideWhenUsed/>
    <w:qFormat/>
    <w:rsid w:val="00CA45DC"/>
    <w:pPr>
      <w:spacing w:after="200"/>
    </w:pPr>
    <w:rPr>
      <w:b/>
      <w:bCs/>
      <w:color w:val="612C51" w:themeColor="accent1"/>
      <w:sz w:val="18"/>
      <w:szCs w:val="18"/>
    </w:rPr>
  </w:style>
  <w:style w:type="paragraph" w:styleId="Titre">
    <w:name w:val="Title"/>
    <w:basedOn w:val="Normal"/>
    <w:link w:val="TitreCar"/>
    <w:qFormat/>
    <w:rsid w:val="00CA45DC"/>
    <w:pPr>
      <w:jc w:val="center"/>
    </w:pPr>
    <w:rPr>
      <w:rFonts w:ascii="Times New Roman" w:eastAsiaTheme="majorEastAsia" w:hAnsi="Times New Roman" w:cstheme="majorBidi"/>
      <w:b/>
      <w:caps/>
      <w:sz w:val="32"/>
      <w:szCs w:val="20"/>
    </w:rPr>
  </w:style>
  <w:style w:type="character" w:customStyle="1" w:styleId="TitreCar">
    <w:name w:val="Titre Car"/>
    <w:basedOn w:val="Policepardfaut"/>
    <w:link w:val="Titre"/>
    <w:rsid w:val="00CA45DC"/>
    <w:rPr>
      <w:rFonts w:ascii="Times New Roman" w:eastAsiaTheme="majorEastAsia" w:hAnsi="Times New Roman" w:cstheme="majorBidi"/>
      <w:b/>
      <w:caps/>
      <w:sz w:val="32"/>
      <w:szCs w:val="20"/>
    </w:rPr>
  </w:style>
  <w:style w:type="paragraph" w:styleId="Sous-titre">
    <w:name w:val="Subtitle"/>
    <w:basedOn w:val="Normal"/>
    <w:next w:val="Normal"/>
    <w:link w:val="Sous-titreCar"/>
    <w:uiPriority w:val="11"/>
    <w:qFormat/>
    <w:rsid w:val="00CA45DC"/>
    <w:pPr>
      <w:numPr>
        <w:ilvl w:val="1"/>
      </w:numPr>
    </w:pPr>
    <w:rPr>
      <w:rFonts w:asciiTheme="majorHAnsi" w:eastAsiaTheme="majorEastAsia" w:hAnsiTheme="majorHAnsi" w:cstheme="majorBidi"/>
      <w:i/>
      <w:iCs/>
      <w:color w:val="612C51" w:themeColor="accent1"/>
      <w:spacing w:val="15"/>
      <w:sz w:val="24"/>
      <w:szCs w:val="24"/>
    </w:rPr>
  </w:style>
  <w:style w:type="character" w:customStyle="1" w:styleId="Sous-titreCar">
    <w:name w:val="Sous-titre Car"/>
    <w:basedOn w:val="Policepardfaut"/>
    <w:link w:val="Sous-titre"/>
    <w:uiPriority w:val="11"/>
    <w:rsid w:val="00CA45DC"/>
    <w:rPr>
      <w:rFonts w:asciiTheme="majorHAnsi" w:eastAsiaTheme="majorEastAsia" w:hAnsiTheme="majorHAnsi" w:cstheme="majorBidi"/>
      <w:i/>
      <w:iCs/>
      <w:color w:val="612C51" w:themeColor="accent1"/>
      <w:spacing w:val="15"/>
      <w:sz w:val="24"/>
      <w:szCs w:val="24"/>
    </w:rPr>
  </w:style>
  <w:style w:type="character" w:styleId="lev">
    <w:name w:val="Strong"/>
    <w:uiPriority w:val="22"/>
    <w:qFormat/>
    <w:rsid w:val="00CA45DC"/>
    <w:rPr>
      <w:b/>
      <w:bCs/>
    </w:rPr>
  </w:style>
  <w:style w:type="character" w:styleId="Accentuation">
    <w:name w:val="Emphasis"/>
    <w:qFormat/>
    <w:rsid w:val="00CA45DC"/>
    <w:rPr>
      <w:i/>
      <w:iCs/>
    </w:rPr>
  </w:style>
  <w:style w:type="paragraph" w:styleId="Sansinterligne">
    <w:name w:val="No Spacing"/>
    <w:link w:val="SansinterligneCar"/>
    <w:uiPriority w:val="1"/>
    <w:qFormat/>
    <w:rsid w:val="00CA45DC"/>
    <w:rPr>
      <w:rFonts w:eastAsiaTheme="minorEastAsia"/>
    </w:rPr>
  </w:style>
  <w:style w:type="character" w:customStyle="1" w:styleId="SansinterligneCar">
    <w:name w:val="Sans interligne Car"/>
    <w:basedOn w:val="Policepardfaut"/>
    <w:link w:val="Sansinterligne"/>
    <w:uiPriority w:val="1"/>
    <w:rsid w:val="00CA45DC"/>
    <w:rPr>
      <w:rFonts w:eastAsiaTheme="minorEastAsia"/>
    </w:rPr>
  </w:style>
  <w:style w:type="paragraph" w:styleId="Paragraphedeliste">
    <w:name w:val="List Paragraph"/>
    <w:basedOn w:val="Normal"/>
    <w:link w:val="ParagraphedelisteCar"/>
    <w:uiPriority w:val="34"/>
    <w:qFormat/>
    <w:rsid w:val="00CA45DC"/>
    <w:pPr>
      <w:ind w:left="720"/>
      <w:contextualSpacing/>
    </w:pPr>
  </w:style>
  <w:style w:type="character" w:customStyle="1" w:styleId="ParagraphedelisteCar">
    <w:name w:val="Paragraphe de liste Car"/>
    <w:basedOn w:val="Policepardfaut"/>
    <w:link w:val="Paragraphedeliste"/>
    <w:uiPriority w:val="34"/>
    <w:rsid w:val="00CA45DC"/>
    <w:rPr>
      <w:rFonts w:ascii="Calibri" w:hAnsi="Calibri"/>
    </w:rPr>
  </w:style>
  <w:style w:type="paragraph" w:styleId="Citation">
    <w:name w:val="Quote"/>
    <w:basedOn w:val="Normal"/>
    <w:next w:val="Normal"/>
    <w:link w:val="CitationCar"/>
    <w:uiPriority w:val="29"/>
    <w:qFormat/>
    <w:rsid w:val="00CA45DC"/>
    <w:rPr>
      <w:i/>
      <w:iCs/>
      <w:color w:val="000000" w:themeColor="text1"/>
    </w:rPr>
  </w:style>
  <w:style w:type="character" w:customStyle="1" w:styleId="CitationCar">
    <w:name w:val="Citation Car"/>
    <w:basedOn w:val="Policepardfaut"/>
    <w:link w:val="Citation"/>
    <w:uiPriority w:val="29"/>
    <w:rsid w:val="00CA45DC"/>
    <w:rPr>
      <w:rFonts w:ascii="Calibri" w:hAnsi="Calibri"/>
      <w:i/>
      <w:iCs/>
      <w:color w:val="000000" w:themeColor="text1"/>
    </w:rPr>
  </w:style>
  <w:style w:type="paragraph" w:styleId="Citationintense">
    <w:name w:val="Intense Quote"/>
    <w:basedOn w:val="Normal"/>
    <w:next w:val="Normal"/>
    <w:link w:val="CitationintenseCar"/>
    <w:uiPriority w:val="30"/>
    <w:qFormat/>
    <w:rsid w:val="00CA45DC"/>
    <w:pPr>
      <w:pBdr>
        <w:bottom w:val="single" w:sz="4" w:space="4" w:color="612C51" w:themeColor="accent1"/>
      </w:pBdr>
      <w:spacing w:before="200" w:after="280"/>
      <w:ind w:left="936" w:right="936"/>
    </w:pPr>
    <w:rPr>
      <w:b/>
      <w:bCs/>
      <w:i/>
      <w:iCs/>
      <w:color w:val="612C51" w:themeColor="accent1"/>
    </w:rPr>
  </w:style>
  <w:style w:type="character" w:customStyle="1" w:styleId="CitationintenseCar">
    <w:name w:val="Citation intense Car"/>
    <w:basedOn w:val="Policepardfaut"/>
    <w:link w:val="Citationintense"/>
    <w:uiPriority w:val="30"/>
    <w:rsid w:val="00CA45DC"/>
    <w:rPr>
      <w:rFonts w:ascii="Calibri" w:hAnsi="Calibri"/>
      <w:b/>
      <w:bCs/>
      <w:i/>
      <w:iCs/>
      <w:color w:val="612C51" w:themeColor="accent1"/>
    </w:rPr>
  </w:style>
  <w:style w:type="character" w:styleId="Emphaseple">
    <w:name w:val="Subtle Emphasis"/>
    <w:uiPriority w:val="19"/>
    <w:qFormat/>
    <w:rsid w:val="00CA45DC"/>
    <w:rPr>
      <w:i/>
      <w:iCs/>
      <w:color w:val="808080" w:themeColor="text1" w:themeTint="7F"/>
    </w:rPr>
  </w:style>
  <w:style w:type="character" w:styleId="Emphaseintense">
    <w:name w:val="Intense Emphasis"/>
    <w:uiPriority w:val="21"/>
    <w:qFormat/>
    <w:rsid w:val="00CA45DC"/>
    <w:rPr>
      <w:b/>
      <w:bCs/>
      <w:i/>
      <w:iCs/>
      <w:color w:val="612C51" w:themeColor="accent1"/>
    </w:rPr>
  </w:style>
  <w:style w:type="character" w:styleId="Rfrenceple">
    <w:name w:val="Subtle Reference"/>
    <w:uiPriority w:val="31"/>
    <w:qFormat/>
    <w:rsid w:val="00CA45DC"/>
    <w:rPr>
      <w:smallCaps/>
      <w:color w:val="B06C96" w:themeColor="accent2"/>
      <w:u w:val="single"/>
    </w:rPr>
  </w:style>
  <w:style w:type="character" w:styleId="Rfrenceintense">
    <w:name w:val="Intense Reference"/>
    <w:uiPriority w:val="32"/>
    <w:qFormat/>
    <w:rsid w:val="00CA45DC"/>
    <w:rPr>
      <w:b/>
      <w:bCs/>
      <w:smallCaps/>
      <w:color w:val="B06C96" w:themeColor="accent2"/>
      <w:spacing w:val="5"/>
      <w:u w:val="single"/>
    </w:rPr>
  </w:style>
  <w:style w:type="character" w:styleId="Titredulivre">
    <w:name w:val="Book Title"/>
    <w:uiPriority w:val="33"/>
    <w:qFormat/>
    <w:rsid w:val="00CA45DC"/>
    <w:rPr>
      <w:b/>
      <w:bCs/>
      <w:smallCaps/>
      <w:spacing w:val="5"/>
    </w:rPr>
  </w:style>
  <w:style w:type="paragraph" w:styleId="En-ttedetabledesmatires">
    <w:name w:val="TOC Heading"/>
    <w:basedOn w:val="Titre1"/>
    <w:next w:val="Normal"/>
    <w:uiPriority w:val="39"/>
    <w:semiHidden/>
    <w:unhideWhenUsed/>
    <w:qFormat/>
    <w:rsid w:val="00CA45DC"/>
    <w:pPr>
      <w:numPr>
        <w:numId w:val="0"/>
      </w:numPr>
      <w:spacing w:after="0" w:line="276" w:lineRule="auto"/>
      <w:outlineLvl w:val="9"/>
    </w:pPr>
    <w:rPr>
      <w:rFonts w:asciiTheme="majorHAnsi" w:hAnsiTheme="majorHAnsi"/>
      <w:caps w:val="0"/>
      <w:color w:val="48213C" w:themeColor="accent1" w:themeShade="BF"/>
      <w:sz w:val="28"/>
    </w:rPr>
  </w:style>
  <w:style w:type="paragraph" w:customStyle="1" w:styleId="CACTitre10">
    <w:name w:val="CAC Titre 1"/>
    <w:basedOn w:val="Titre1"/>
    <w:link w:val="CACTitre1Car"/>
    <w:qFormat/>
    <w:rsid w:val="00CA45DC"/>
    <w:pPr>
      <w:numPr>
        <w:numId w:val="0"/>
      </w:numPr>
      <w:tabs>
        <w:tab w:val="clear" w:pos="1843"/>
        <w:tab w:val="left" w:pos="1985"/>
      </w:tabs>
      <w:ind w:left="1985" w:hanging="1985"/>
    </w:pPr>
  </w:style>
  <w:style w:type="character" w:customStyle="1" w:styleId="CACTitre1Car">
    <w:name w:val="CAC Titre 1 Car"/>
    <w:basedOn w:val="Titre1Car"/>
    <w:link w:val="CACTitre10"/>
    <w:rsid w:val="00CA45DC"/>
    <w:rPr>
      <w:rFonts w:ascii="Calibri" w:eastAsiaTheme="majorEastAsia" w:hAnsi="Calibri" w:cstheme="majorBidi"/>
      <w:b/>
      <w:bCs/>
      <w:caps/>
      <w:color w:val="B06C96" w:themeColor="accent2"/>
      <w:sz w:val="32"/>
      <w:szCs w:val="28"/>
    </w:rPr>
  </w:style>
  <w:style w:type="paragraph" w:customStyle="1" w:styleId="CACTitre1">
    <w:name w:val="CAC.Titre 1"/>
    <w:basedOn w:val="Paragraphedeliste"/>
    <w:link w:val="CACTitre1Car0"/>
    <w:autoRedefine/>
    <w:qFormat/>
    <w:rsid w:val="00827DD2"/>
    <w:pPr>
      <w:numPr>
        <w:numId w:val="1"/>
      </w:numPr>
    </w:pPr>
    <w:rPr>
      <w:b/>
      <w:caps/>
      <w:color w:val="7030A0"/>
      <w:sz w:val="28"/>
    </w:rPr>
  </w:style>
  <w:style w:type="character" w:customStyle="1" w:styleId="CACTitre1Car0">
    <w:name w:val="CAC.Titre 1 Car"/>
    <w:basedOn w:val="ParagraphedelisteCar"/>
    <w:link w:val="CACTitre1"/>
    <w:rsid w:val="00827DD2"/>
    <w:rPr>
      <w:rFonts w:ascii="Calibri" w:hAnsi="Calibri"/>
      <w:b/>
      <w:caps/>
      <w:color w:val="7030A0"/>
      <w:sz w:val="28"/>
    </w:rPr>
  </w:style>
  <w:style w:type="paragraph" w:customStyle="1" w:styleId="CACTitre2">
    <w:name w:val="CAC.Titre 2"/>
    <w:basedOn w:val="Paragraphedeliste"/>
    <w:link w:val="CACTitre2Car"/>
    <w:autoRedefine/>
    <w:qFormat/>
    <w:rsid w:val="00034926"/>
    <w:pPr>
      <w:numPr>
        <w:ilvl w:val="1"/>
        <w:numId w:val="1"/>
      </w:numPr>
    </w:pPr>
    <w:rPr>
      <w:b/>
      <w:color w:val="372430" w:themeColor="accent4" w:themeShade="BF"/>
      <w:sz w:val="28"/>
    </w:rPr>
  </w:style>
  <w:style w:type="character" w:customStyle="1" w:styleId="CACTitre2Car">
    <w:name w:val="CAC.Titre 2 Car"/>
    <w:basedOn w:val="ParagraphedelisteCar"/>
    <w:link w:val="CACTitre2"/>
    <w:rsid w:val="00034926"/>
    <w:rPr>
      <w:rFonts w:ascii="Calibri" w:hAnsi="Calibri"/>
      <w:b/>
      <w:color w:val="372430" w:themeColor="accent4" w:themeShade="BF"/>
      <w:sz w:val="28"/>
    </w:rPr>
  </w:style>
  <w:style w:type="paragraph" w:customStyle="1" w:styleId="CACTitre3">
    <w:name w:val="CAC.Titre 3"/>
    <w:basedOn w:val="Paragraphedeliste"/>
    <w:link w:val="CACTitre3Car"/>
    <w:autoRedefine/>
    <w:qFormat/>
    <w:rsid w:val="005C5414"/>
    <w:pPr>
      <w:numPr>
        <w:ilvl w:val="2"/>
        <w:numId w:val="1"/>
      </w:numPr>
    </w:pPr>
    <w:rPr>
      <w:b/>
      <w:color w:val="8A4A71" w:themeColor="accent2" w:themeShade="BF"/>
      <w:sz w:val="26"/>
    </w:rPr>
  </w:style>
  <w:style w:type="character" w:customStyle="1" w:styleId="CACTitre3Car">
    <w:name w:val="CAC.Titre 3 Car"/>
    <w:basedOn w:val="ParagraphedelisteCar"/>
    <w:link w:val="CACTitre3"/>
    <w:rsid w:val="005C5414"/>
    <w:rPr>
      <w:rFonts w:ascii="Calibri" w:hAnsi="Calibri"/>
      <w:b/>
      <w:color w:val="8A4A71" w:themeColor="accent2" w:themeShade="BF"/>
      <w:sz w:val="26"/>
    </w:rPr>
  </w:style>
  <w:style w:type="paragraph" w:customStyle="1" w:styleId="Style1">
    <w:name w:val="Style1"/>
    <w:basedOn w:val="Titre1"/>
    <w:qFormat/>
    <w:rsid w:val="00CA45DC"/>
    <w:pPr>
      <w:numPr>
        <w:numId w:val="0"/>
      </w:numPr>
      <w:spacing w:after="240"/>
    </w:pPr>
  </w:style>
  <w:style w:type="paragraph" w:customStyle="1" w:styleId="Style2">
    <w:name w:val="Style2"/>
    <w:basedOn w:val="Titre1"/>
    <w:autoRedefine/>
    <w:qFormat/>
    <w:rsid w:val="00CA45DC"/>
    <w:pPr>
      <w:numPr>
        <w:numId w:val="0"/>
      </w:numPr>
      <w:spacing w:after="240"/>
    </w:pPr>
  </w:style>
  <w:style w:type="paragraph" w:customStyle="1" w:styleId="Style3">
    <w:name w:val="Style3"/>
    <w:basedOn w:val="Titre3"/>
    <w:autoRedefine/>
    <w:qFormat/>
    <w:rsid w:val="00CA45DC"/>
    <w:pPr>
      <w:numPr>
        <w:ilvl w:val="0"/>
        <w:numId w:val="0"/>
      </w:numPr>
      <w:spacing w:before="120" w:after="120"/>
    </w:pPr>
  </w:style>
  <w:style w:type="paragraph" w:customStyle="1" w:styleId="Style4">
    <w:name w:val="Style4"/>
    <w:basedOn w:val="Titre3"/>
    <w:autoRedefine/>
    <w:qFormat/>
    <w:rsid w:val="00CA45DC"/>
    <w:pPr>
      <w:numPr>
        <w:ilvl w:val="0"/>
        <w:numId w:val="0"/>
      </w:numPr>
      <w:spacing w:after="120"/>
    </w:pPr>
  </w:style>
  <w:style w:type="paragraph" w:customStyle="1" w:styleId="Style5">
    <w:name w:val="Style5"/>
    <w:basedOn w:val="Titre3"/>
    <w:autoRedefine/>
    <w:qFormat/>
    <w:rsid w:val="00CA45DC"/>
    <w:pPr>
      <w:numPr>
        <w:ilvl w:val="0"/>
        <w:numId w:val="0"/>
      </w:numPr>
      <w:spacing w:after="120"/>
    </w:pPr>
  </w:style>
  <w:style w:type="paragraph" w:customStyle="1" w:styleId="CACTitre4">
    <w:name w:val="CAC.Titre 4"/>
    <w:basedOn w:val="Paragraphedeliste"/>
    <w:link w:val="CACTitre4Car"/>
    <w:autoRedefine/>
    <w:qFormat/>
    <w:rsid w:val="005C5414"/>
    <w:pPr>
      <w:numPr>
        <w:ilvl w:val="3"/>
        <w:numId w:val="1"/>
      </w:numPr>
    </w:pPr>
    <w:rPr>
      <w:b/>
      <w:color w:val="7030A0"/>
      <w:u w:val="single"/>
    </w:rPr>
  </w:style>
  <w:style w:type="character" w:customStyle="1" w:styleId="CACTitre4Car">
    <w:name w:val="CAC.Titre 4 Car"/>
    <w:basedOn w:val="ParagraphedelisteCar"/>
    <w:link w:val="CACTitre4"/>
    <w:rsid w:val="005C5414"/>
    <w:rPr>
      <w:rFonts w:ascii="Calibri" w:hAnsi="Calibri"/>
      <w:b/>
      <w:color w:val="7030A0"/>
      <w:u w:val="single"/>
    </w:rPr>
  </w:style>
  <w:style w:type="paragraph" w:customStyle="1" w:styleId="CACTitre5">
    <w:name w:val="CAC.Titre 5"/>
    <w:basedOn w:val="Paragraphedeliste"/>
    <w:link w:val="CACTitre5Car"/>
    <w:autoRedefine/>
    <w:qFormat/>
    <w:rsid w:val="005C5414"/>
    <w:pPr>
      <w:ind w:left="1418" w:firstLine="22"/>
    </w:pPr>
    <w:rPr>
      <w:color w:val="7030A0"/>
    </w:rPr>
  </w:style>
  <w:style w:type="character" w:customStyle="1" w:styleId="CACTitre5Car">
    <w:name w:val="CAC.Titre 5 Car"/>
    <w:basedOn w:val="ParagraphedelisteCar"/>
    <w:link w:val="CACTitre5"/>
    <w:rsid w:val="005C5414"/>
    <w:rPr>
      <w:rFonts w:ascii="Calibri" w:hAnsi="Calibri"/>
      <w:color w:val="7030A0"/>
    </w:rPr>
  </w:style>
  <w:style w:type="paragraph" w:customStyle="1" w:styleId="CACCorps">
    <w:name w:val="CAC.Corps"/>
    <w:basedOn w:val="Normal"/>
    <w:link w:val="CACCorpsCar"/>
    <w:qFormat/>
    <w:rsid w:val="00FD3E5B"/>
    <w:pPr>
      <w:ind w:left="46"/>
    </w:pPr>
  </w:style>
  <w:style w:type="character" w:customStyle="1" w:styleId="CACCorpsCar">
    <w:name w:val="CAC.Corps Car"/>
    <w:basedOn w:val="Policepardfaut"/>
    <w:link w:val="CACCorps"/>
    <w:rsid w:val="00FD3E5B"/>
    <w:rPr>
      <w:rFonts w:ascii="Calibri" w:hAnsi="Calibri"/>
    </w:rPr>
  </w:style>
  <w:style w:type="paragraph" w:styleId="Notedebasdepage">
    <w:name w:val="footnote text"/>
    <w:basedOn w:val="Normal"/>
    <w:link w:val="NotedebasdepageCar"/>
    <w:uiPriority w:val="99"/>
    <w:semiHidden/>
    <w:unhideWhenUsed/>
    <w:rsid w:val="00706B95"/>
    <w:rPr>
      <w:sz w:val="20"/>
      <w:szCs w:val="20"/>
    </w:rPr>
  </w:style>
  <w:style w:type="character" w:customStyle="1" w:styleId="NotedebasdepageCar">
    <w:name w:val="Note de bas de page Car"/>
    <w:basedOn w:val="Policepardfaut"/>
    <w:link w:val="Notedebasdepage"/>
    <w:uiPriority w:val="99"/>
    <w:rsid w:val="00706B95"/>
    <w:rPr>
      <w:rFonts w:ascii="Calibri" w:hAnsi="Calibri"/>
      <w:sz w:val="20"/>
      <w:szCs w:val="20"/>
    </w:rPr>
  </w:style>
  <w:style w:type="character" w:styleId="Appelnotedebasdep">
    <w:name w:val="footnote reference"/>
    <w:basedOn w:val="Policepardfaut"/>
    <w:uiPriority w:val="99"/>
    <w:semiHidden/>
    <w:unhideWhenUsed/>
    <w:rsid w:val="00706B95"/>
    <w:rPr>
      <w:vertAlign w:val="superscript"/>
    </w:rPr>
  </w:style>
  <w:style w:type="table" w:customStyle="1" w:styleId="TableNormal">
    <w:name w:val="Table Normal"/>
    <w:uiPriority w:val="2"/>
    <w:semiHidden/>
    <w:unhideWhenUsed/>
    <w:qFormat/>
    <w:rsid w:val="00985251"/>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85251"/>
    <w:pPr>
      <w:widowControl w:val="0"/>
      <w:jc w:val="left"/>
    </w:pPr>
    <w:rPr>
      <w:rFonts w:asciiTheme="minorHAnsi" w:hAnsiTheme="minorHAnsi"/>
      <w:lang w:val="en-US"/>
    </w:rPr>
  </w:style>
  <w:style w:type="paragraph" w:styleId="Textedebulles">
    <w:name w:val="Balloon Text"/>
    <w:basedOn w:val="Normal"/>
    <w:link w:val="TextedebullesCar"/>
    <w:uiPriority w:val="99"/>
    <w:semiHidden/>
    <w:unhideWhenUsed/>
    <w:rsid w:val="001231AF"/>
    <w:rPr>
      <w:rFonts w:ascii="Tahoma" w:hAnsi="Tahoma" w:cs="Tahoma"/>
      <w:sz w:val="16"/>
      <w:szCs w:val="16"/>
    </w:rPr>
  </w:style>
  <w:style w:type="character" w:customStyle="1" w:styleId="TextedebullesCar">
    <w:name w:val="Texte de bulles Car"/>
    <w:basedOn w:val="Policepardfaut"/>
    <w:link w:val="Textedebulles"/>
    <w:uiPriority w:val="99"/>
    <w:semiHidden/>
    <w:rsid w:val="001231AF"/>
    <w:rPr>
      <w:rFonts w:ascii="Tahoma" w:hAnsi="Tahoma" w:cs="Tahoma"/>
      <w:sz w:val="16"/>
      <w:szCs w:val="16"/>
    </w:rPr>
  </w:style>
  <w:style w:type="paragraph" w:styleId="TM1">
    <w:name w:val="toc 1"/>
    <w:basedOn w:val="Normal"/>
    <w:next w:val="Normal"/>
    <w:autoRedefine/>
    <w:uiPriority w:val="39"/>
    <w:unhideWhenUsed/>
    <w:rsid w:val="00827DD2"/>
    <w:pPr>
      <w:tabs>
        <w:tab w:val="left" w:pos="1320"/>
        <w:tab w:val="right" w:leader="dot" w:pos="9062"/>
      </w:tabs>
      <w:spacing w:after="100"/>
    </w:pPr>
    <w:rPr>
      <w:rFonts w:asciiTheme="minorHAnsi" w:hAnsiTheme="minorHAnsi"/>
      <w:b/>
      <w:noProof/>
      <w:color w:val="7030A0"/>
      <w:sz w:val="20"/>
    </w:rPr>
  </w:style>
  <w:style w:type="paragraph" w:styleId="TM2">
    <w:name w:val="toc 2"/>
    <w:basedOn w:val="Normal"/>
    <w:next w:val="Normal"/>
    <w:autoRedefine/>
    <w:uiPriority w:val="39"/>
    <w:unhideWhenUsed/>
    <w:rsid w:val="00EB2DBB"/>
    <w:pPr>
      <w:spacing w:after="100"/>
      <w:ind w:left="220"/>
    </w:pPr>
  </w:style>
  <w:style w:type="paragraph" w:styleId="TM3">
    <w:name w:val="toc 3"/>
    <w:basedOn w:val="Normal"/>
    <w:next w:val="Normal"/>
    <w:autoRedefine/>
    <w:uiPriority w:val="39"/>
    <w:unhideWhenUsed/>
    <w:rsid w:val="00EB2DBB"/>
    <w:pPr>
      <w:spacing w:after="100"/>
      <w:ind w:left="440"/>
    </w:pPr>
  </w:style>
  <w:style w:type="character" w:styleId="Lienhypertexte">
    <w:name w:val="Hyperlink"/>
    <w:basedOn w:val="Policepardfaut"/>
    <w:uiPriority w:val="99"/>
    <w:unhideWhenUsed/>
    <w:rsid w:val="00EB2DBB"/>
    <w:rPr>
      <w:color w:val="17BBFD" w:themeColor="hyperlink"/>
      <w:u w:val="single"/>
    </w:rPr>
  </w:style>
  <w:style w:type="paragraph" w:styleId="TM4">
    <w:name w:val="toc 4"/>
    <w:basedOn w:val="Normal"/>
    <w:next w:val="Normal"/>
    <w:autoRedefine/>
    <w:uiPriority w:val="39"/>
    <w:unhideWhenUsed/>
    <w:rsid w:val="0002760D"/>
    <w:pPr>
      <w:spacing w:after="100" w:line="276" w:lineRule="auto"/>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02760D"/>
    <w:pPr>
      <w:spacing w:after="100" w:line="276" w:lineRule="auto"/>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02760D"/>
    <w:pPr>
      <w:spacing w:after="100" w:line="276" w:lineRule="auto"/>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02760D"/>
    <w:pPr>
      <w:spacing w:after="100" w:line="276" w:lineRule="auto"/>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02760D"/>
    <w:pPr>
      <w:spacing w:after="100" w:line="276" w:lineRule="auto"/>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02760D"/>
    <w:pPr>
      <w:spacing w:after="100" w:line="276" w:lineRule="auto"/>
      <w:ind w:left="1760"/>
      <w:jc w:val="left"/>
    </w:pPr>
    <w:rPr>
      <w:rFonts w:asciiTheme="minorHAnsi" w:eastAsiaTheme="minorEastAsia" w:hAnsiTheme="minorHAnsi"/>
      <w:lang w:eastAsia="fr-FR"/>
    </w:rPr>
  </w:style>
  <w:style w:type="paragraph" w:styleId="En-tte">
    <w:name w:val="header"/>
    <w:basedOn w:val="Normal"/>
    <w:link w:val="En-tteCar"/>
    <w:uiPriority w:val="99"/>
    <w:unhideWhenUsed/>
    <w:rsid w:val="006B0623"/>
    <w:pPr>
      <w:tabs>
        <w:tab w:val="center" w:pos="4536"/>
        <w:tab w:val="right" w:pos="9072"/>
      </w:tabs>
    </w:pPr>
  </w:style>
  <w:style w:type="character" w:customStyle="1" w:styleId="En-tteCar">
    <w:name w:val="En-tête Car"/>
    <w:basedOn w:val="Policepardfaut"/>
    <w:link w:val="En-tte"/>
    <w:uiPriority w:val="99"/>
    <w:rsid w:val="006B0623"/>
    <w:rPr>
      <w:rFonts w:ascii="Calibri" w:hAnsi="Calibri"/>
    </w:rPr>
  </w:style>
  <w:style w:type="paragraph" w:styleId="Pieddepage">
    <w:name w:val="footer"/>
    <w:basedOn w:val="Normal"/>
    <w:link w:val="PieddepageCar"/>
    <w:uiPriority w:val="99"/>
    <w:unhideWhenUsed/>
    <w:rsid w:val="006B0623"/>
    <w:pPr>
      <w:tabs>
        <w:tab w:val="center" w:pos="4536"/>
        <w:tab w:val="right" w:pos="9072"/>
      </w:tabs>
    </w:pPr>
  </w:style>
  <w:style w:type="character" w:customStyle="1" w:styleId="PieddepageCar">
    <w:name w:val="Pied de page Car"/>
    <w:basedOn w:val="Policepardfaut"/>
    <w:link w:val="Pieddepage"/>
    <w:uiPriority w:val="99"/>
    <w:rsid w:val="006B0623"/>
    <w:rPr>
      <w:rFonts w:ascii="Calibri" w:hAnsi="Calibri"/>
    </w:rPr>
  </w:style>
  <w:style w:type="table" w:styleId="Listeclaire-Accent1">
    <w:name w:val="Light List Accent 1"/>
    <w:basedOn w:val="TableauNormal"/>
    <w:uiPriority w:val="61"/>
    <w:rsid w:val="00CD4EF4"/>
    <w:tblPr>
      <w:tblStyleRowBandSize w:val="1"/>
      <w:tblStyleColBandSize w:val="1"/>
      <w:tblInd w:w="0" w:type="dxa"/>
      <w:tblBorders>
        <w:top w:val="single" w:sz="8" w:space="0" w:color="612C51" w:themeColor="accent1"/>
        <w:left w:val="single" w:sz="8" w:space="0" w:color="612C51" w:themeColor="accent1"/>
        <w:bottom w:val="single" w:sz="8" w:space="0" w:color="612C51" w:themeColor="accent1"/>
        <w:right w:val="single" w:sz="8" w:space="0" w:color="612C5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12C51" w:themeFill="accent1"/>
      </w:tcPr>
    </w:tblStylePr>
    <w:tblStylePr w:type="lastRow">
      <w:pPr>
        <w:spacing w:before="0" w:after="0" w:line="240" w:lineRule="auto"/>
      </w:pPr>
      <w:rPr>
        <w:b/>
        <w:bCs/>
      </w:rPr>
      <w:tblPr/>
      <w:tcPr>
        <w:tcBorders>
          <w:top w:val="double" w:sz="6" w:space="0" w:color="612C51" w:themeColor="accent1"/>
          <w:left w:val="single" w:sz="8" w:space="0" w:color="612C51" w:themeColor="accent1"/>
          <w:bottom w:val="single" w:sz="8" w:space="0" w:color="612C51" w:themeColor="accent1"/>
          <w:right w:val="single" w:sz="8" w:space="0" w:color="612C51" w:themeColor="accent1"/>
        </w:tcBorders>
      </w:tcPr>
    </w:tblStylePr>
    <w:tblStylePr w:type="firstCol">
      <w:rPr>
        <w:b/>
        <w:bCs/>
      </w:rPr>
    </w:tblStylePr>
    <w:tblStylePr w:type="lastCol">
      <w:rPr>
        <w:b/>
        <w:bCs/>
      </w:rPr>
    </w:tblStylePr>
    <w:tblStylePr w:type="band1Vert">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tblStylePr w:type="band1Horz">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style>
  <w:style w:type="character" w:styleId="Lienhypertextesuivivisit">
    <w:name w:val="FollowedHyperlink"/>
    <w:basedOn w:val="Policepardfaut"/>
    <w:uiPriority w:val="99"/>
    <w:semiHidden/>
    <w:unhideWhenUsed/>
    <w:rsid w:val="00A11B84"/>
    <w:rPr>
      <w:color w:val="FF79C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764433">
      <w:bodyDiv w:val="1"/>
      <w:marLeft w:val="0"/>
      <w:marRight w:val="0"/>
      <w:marTop w:val="0"/>
      <w:marBottom w:val="0"/>
      <w:divBdr>
        <w:top w:val="none" w:sz="0" w:space="0" w:color="auto"/>
        <w:left w:val="none" w:sz="0" w:space="0" w:color="auto"/>
        <w:bottom w:val="none" w:sz="0" w:space="0" w:color="auto"/>
        <w:right w:val="none" w:sz="0" w:space="0" w:color="auto"/>
      </w:divBdr>
    </w:div>
    <w:div w:id="1187790386">
      <w:bodyDiv w:val="1"/>
      <w:marLeft w:val="0"/>
      <w:marRight w:val="0"/>
      <w:marTop w:val="0"/>
      <w:marBottom w:val="0"/>
      <w:divBdr>
        <w:top w:val="none" w:sz="0" w:space="0" w:color="auto"/>
        <w:left w:val="none" w:sz="0" w:space="0" w:color="auto"/>
        <w:bottom w:val="none" w:sz="0" w:space="0" w:color="auto"/>
        <w:right w:val="none" w:sz="0" w:space="0" w:color="auto"/>
      </w:divBdr>
    </w:div>
    <w:div w:id="1204095449">
      <w:bodyDiv w:val="1"/>
      <w:marLeft w:val="0"/>
      <w:marRight w:val="0"/>
      <w:marTop w:val="0"/>
      <w:marBottom w:val="0"/>
      <w:divBdr>
        <w:top w:val="none" w:sz="0" w:space="0" w:color="auto"/>
        <w:left w:val="none" w:sz="0" w:space="0" w:color="auto"/>
        <w:bottom w:val="none" w:sz="0" w:space="0" w:color="auto"/>
        <w:right w:val="none" w:sz="0" w:space="0" w:color="auto"/>
      </w:divBdr>
    </w:div>
    <w:div w:id="1772624163">
      <w:bodyDiv w:val="1"/>
      <w:marLeft w:val="0"/>
      <w:marRight w:val="0"/>
      <w:marTop w:val="0"/>
      <w:marBottom w:val="0"/>
      <w:divBdr>
        <w:top w:val="none" w:sz="0" w:space="0" w:color="auto"/>
        <w:left w:val="none" w:sz="0" w:space="0" w:color="auto"/>
        <w:bottom w:val="none" w:sz="0" w:space="0" w:color="auto"/>
        <w:right w:val="none" w:sz="0" w:space="0" w:color="auto"/>
      </w:divBdr>
    </w:div>
    <w:div w:id="1934775338">
      <w:bodyDiv w:val="1"/>
      <w:marLeft w:val="0"/>
      <w:marRight w:val="0"/>
      <w:marTop w:val="0"/>
      <w:marBottom w:val="0"/>
      <w:divBdr>
        <w:top w:val="none" w:sz="0" w:space="0" w:color="auto"/>
        <w:left w:val="none" w:sz="0" w:space="0" w:color="auto"/>
        <w:bottom w:val="none" w:sz="0" w:space="0" w:color="auto"/>
        <w:right w:val="none" w:sz="0" w:space="0" w:color="auto"/>
      </w:divBdr>
    </w:div>
    <w:div w:id="202219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0.jpeg"/><Relationship Id="rId18" Type="http://schemas.openxmlformats.org/officeDocument/2006/relationships/hyperlink" Target="file:///C:\Users\USER\Google%20Drive\M%20-%20Modifs\AUDIT\BoiteOutils\Textes%20l&#233;gaux%20et%20r&#233;glementaires\Doctrine%20CNCC\Guides%20d'applications\AMF%202010-07%20Guide%20lecture.pdf" TargetMode="External"/><Relationship Id="rId26" Type="http://schemas.openxmlformats.org/officeDocument/2006/relationships/hyperlink" Target="../../Textes%20l&#233;gaux%20et%20r&#233;glementaires/R&#233;f&#233;rentiel%20NEP/NEP240.doc" TargetMode="External"/><Relationship Id="rId39" Type="http://schemas.openxmlformats.org/officeDocument/2006/relationships/hyperlink" Target="../../Outils%20et%20mod&#232;les/CONTINUITE%20ET%20ALERTE/F210/F210.X003.doc" TargetMode="External"/><Relationship Id="rId21" Type="http://schemas.openxmlformats.org/officeDocument/2006/relationships/hyperlink" Target="../../Outils%20et%20mod&#232;les/ETAPE%201/A220/A220.X001.doc" TargetMode="External"/><Relationship Id="rId34" Type="http://schemas.openxmlformats.org/officeDocument/2006/relationships/hyperlink" Target="../../Textes%20l&#233;gaux%20et%20r&#233;glementaires/Doctrine%20CNCC/Notes%20d'information%20CNCC/NI-XI%20-%20Octobre%202012/NI-XI%20-%20Octobre%202012.pdf" TargetMode="External"/><Relationship Id="rId42" Type="http://schemas.openxmlformats.org/officeDocument/2006/relationships/hyperlink" Target="../../Outils%20et%20mod&#232;les/CONTINUITE%20ET%20ALERTE/F210/F210.X005.doc" TargetMode="External"/><Relationship Id="rId47" Type="http://schemas.openxmlformats.org/officeDocument/2006/relationships/hyperlink" Target="../../Textes%20l&#233;gaux%20et%20r&#233;glementaires/Doctrine%20AMF/AMF%202006-11.pdf" TargetMode="External"/><Relationship Id="rId50" Type="http://schemas.openxmlformats.org/officeDocument/2006/relationships/hyperlink" Target="http://www.amf-france.org/Reglementation/Textes-europeens/Societe-cotees-et-operations-financieres/Transparence/Directive-2004-109-CE-du-Parlement-europeen-et-du-Conseil-du-15-decembre-2004-sur-l-harmonisation-des-obligations-de-transparence-concernant-l-information-sur-les-emetteurs-dont-les-valeurs-mobilieres-sont-admises-a-la-negociation-sur-un-marche-reglemente-et-modifiant-la-directive-2001-34-CE.html" TargetMode="External"/><Relationship Id="rId55" Type="http://schemas.openxmlformats.org/officeDocument/2006/relationships/hyperlink" Target="http://www.amf-france.org/Acteurs-et-produits/Societes-cotees-et-operations-financieres/Information-financiere-et-comptable/Diffusion-de-l-information.html?"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file:///C:\Users\USER\Google%20Drive\M%20-%20Modifs\AUDIT\BoiteOutils\Textes%20l&#233;gaux%20et%20r&#233;glementaires\Doctrine%20CNCC\Guides%20d'applications\AMF%202010-07%20Guide%20lecture.pdf" TargetMode="External"/><Relationship Id="rId25" Type="http://schemas.openxmlformats.org/officeDocument/2006/relationships/hyperlink" Target="http://www.amf-france.org/Publications/Rapports-des-groupes-de-travail/Archives.html?docId=workspace%3A%2F%2FSpacesStore%2F2397a624-0dad-4781-8f44-dbd7512c777c" TargetMode="External"/><Relationship Id="rId33" Type="http://schemas.openxmlformats.org/officeDocument/2006/relationships/hyperlink" Target="../../Textes%20l&#233;gaux%20et%20r&#233;glementaires/R&#233;f&#233;rentiel%20NEP/NEP265.doc" TargetMode="External"/><Relationship Id="rId38" Type="http://schemas.openxmlformats.org/officeDocument/2006/relationships/hyperlink" Target="../../Outils%20et%20mod&#232;les/CONTINUITE%20ET%20ALERTE/F210/F210.X002.doc" TargetMode="External"/><Relationship Id="rId46" Type="http://schemas.openxmlformats.org/officeDocument/2006/relationships/hyperlink" Target="http://www.intranet.ath.asso.fr/ath/module/ged/frontOffice/download.do?id=6802" TargetMode="Externa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C:\Users\USER\Google%20Drive\M%20-%20Modifs\AUDIT\BoiteOutils\Textes%20l&#233;gaux%20et%20r&#233;glementaires\Doctrine%20CNCC\Guides%20d'applications\AMF%202010-07%20Guide%20lecture.pdf" TargetMode="External"/><Relationship Id="rId20" Type="http://schemas.openxmlformats.org/officeDocument/2006/relationships/hyperlink" Target="../../Textes%20l&#233;gaux%20et%20r&#233;glementaires/R&#233;f&#233;rentiel%20NEP/NEP260.doc" TargetMode="External"/><Relationship Id="rId29" Type="http://schemas.openxmlformats.org/officeDocument/2006/relationships/hyperlink" Target="http://www.amf-france.org/Publications/Rapports-des-groupes-de-travail/Archives.html?docId=workspace%3A%2F%2FSpacesStore%2F2397a624-0dad-4781-8f44-dbd7512c777c" TargetMode="External"/><Relationship Id="rId41" Type="http://schemas.openxmlformats.org/officeDocument/2006/relationships/hyperlink" Target="../../Outils%20et%20mod&#232;les/CONTINUITE%20ET%20ALERTE/F210/F210.X004.doc" TargetMode="External"/><Relationship Id="rId54" Type="http://schemas.openxmlformats.org/officeDocument/2006/relationships/hyperlink" Target="http://www.amf-france.org/Reglementation/Dossiers-thematiques/Societes-cotees-et-operations-financieres/Marches-d-actions/Directive-Transparence-revisee---finalisation-de-la-transposition.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Chapitres%200100/Chapitre%200120.docx" TargetMode="External"/><Relationship Id="rId32" Type="http://schemas.openxmlformats.org/officeDocument/2006/relationships/hyperlink" Target="../../Textes%20l&#233;gaux%20et%20r&#233;glementaires/R&#233;f&#233;rentiel%20NEP/NEP265.doc" TargetMode="External"/><Relationship Id="rId37" Type="http://schemas.openxmlformats.org/officeDocument/2006/relationships/hyperlink" Target="../Chapitres%200100/Chapitre%200130.docx" TargetMode="External"/><Relationship Id="rId40" Type="http://schemas.openxmlformats.org/officeDocument/2006/relationships/hyperlink" Target="../../Outils%20et%20mod&#232;les/CONTINUITE%20ET%20ALERTE/F220/F220.X005.doc" TargetMode="External"/><Relationship Id="rId45" Type="http://schemas.openxmlformats.org/officeDocument/2006/relationships/hyperlink" Target="../../Outils%20et%20mod&#232;les/CONTINUITE%20ET%20ALERTE/F210/F210.X009.doc" TargetMode="External"/><Relationship Id="rId53" Type="http://schemas.openxmlformats.org/officeDocument/2006/relationships/hyperlink" Target="http://www.intranet.ath.asso.fr/ath/module/ged/frontOffice/download.do?id=18037" TargetMode="External"/><Relationship Id="rId58"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Textes%20l&#233;gaux%20et%20r&#233;glementaires/Doctrine%20CNCC/Guides%20d'applications/AMF%202010-07%20Guide%20lecture.pdf" TargetMode="External"/><Relationship Id="rId23" Type="http://schemas.openxmlformats.org/officeDocument/2006/relationships/hyperlink" Target="../../Textes%20l&#233;gaux%20et%20r&#233;glementaires/Doctrine%20CNCC/Bonnes%20pratiques%20professionnelles/Pratique%20Professionnelle%202011-11-08%20Autorevisions%20Decision.pdf" TargetMode="External"/><Relationship Id="rId28" Type="http://schemas.openxmlformats.org/officeDocument/2006/relationships/hyperlink" Target="../../Textes%20l&#233;gaux%20et%20r&#233;glementaires/R&#233;f&#233;rentiel%20NEP/NEP265.doc" TargetMode="External"/><Relationship Id="rId36" Type="http://schemas.openxmlformats.org/officeDocument/2006/relationships/hyperlink" Target="../../Textes%20l&#233;gaux%20et%20r&#233;glementaires/R&#233;f&#233;rentiel%20NEP/NEP2410.doc" TargetMode="External"/><Relationship Id="rId49" Type="http://schemas.openxmlformats.org/officeDocument/2006/relationships/hyperlink" Target="../../Textes%20l&#233;gaux%20et%20r&#233;glementaires/Doctrine%20AMF/AMF%202005-11.pdf" TargetMode="External"/><Relationship Id="rId57"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Chapitres%200100/Chapitre%200130.docx" TargetMode="External"/><Relationship Id="rId31" Type="http://schemas.openxmlformats.org/officeDocument/2006/relationships/hyperlink" Target="../../Textes%20l&#233;gaux%20et%20r&#233;glementaires/R&#233;f&#233;rentiel%20NEP/NEP260.doc" TargetMode="External"/><Relationship Id="rId44" Type="http://schemas.openxmlformats.org/officeDocument/2006/relationships/hyperlink" Target="../../Outils%20et%20mod&#232;les/CONTINUITE%20ET%20ALERTE/F210/F210.X008.doc" TargetMode="External"/><Relationship Id="rId52" Type="http://schemas.openxmlformats.org/officeDocument/2006/relationships/hyperlink" Target="../../Textes%20l&#233;gaux%20et%20r&#233;glementaires/Doctrine%20AMF/AMF%202007-03.pdf" TargetMode="External"/><Relationship Id="rId60"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Textes%20l&#233;gaux%20et%20r&#233;glementaires/Doctrine%20CNCC/Guides%20d'applications/AMF%202010-07%20Guide%20lecture.pdf" TargetMode="External"/><Relationship Id="rId22" Type="http://schemas.openxmlformats.org/officeDocument/2006/relationships/hyperlink" Target="../../Outils%20et%20mod&#232;les/ETAPE%201/A230/A230.X001.doc" TargetMode="External"/><Relationship Id="rId27" Type="http://schemas.openxmlformats.org/officeDocument/2006/relationships/hyperlink" Target="../../Textes%20l&#233;gaux%20et%20r&#233;glementaires/R&#233;f&#233;rentiel%20NEP/NEP260.doc" TargetMode="External"/><Relationship Id="rId30" Type="http://schemas.openxmlformats.org/officeDocument/2006/relationships/hyperlink" Target="../../Textes%20l&#233;gaux%20et%20r&#233;glementaires/R&#233;f&#233;rentiel%20NEP/NEP260.doc" TargetMode="External"/><Relationship Id="rId35" Type="http://schemas.openxmlformats.org/officeDocument/2006/relationships/hyperlink" Target="http://www.amf-france.org/Publications/Rapports-des-groupes-de-travail/Archives.html?docId=workspace%3A%2F%2FSpacesStore%2F2397a624-0dad-4781-8f44-dbd7512c777c" TargetMode="External"/><Relationship Id="rId43" Type="http://schemas.openxmlformats.org/officeDocument/2006/relationships/hyperlink" Target="../../Outils%20et%20mod&#232;les/CONTINUITE%20ET%20ALERTE/F210/F210.X007.doc" TargetMode="External"/><Relationship Id="rId48"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56" Type="http://schemas.openxmlformats.org/officeDocument/2006/relationships/hyperlink" Target="http://www.intranet.ath.asso.fr/ath/cms/private/228-467/rapports-de-transparence.dhtml" TargetMode="External"/><Relationship Id="rId8" Type="http://schemas.openxmlformats.org/officeDocument/2006/relationships/footnotes" Target="footnotes.xml"/><Relationship Id="rId51"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3"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Textes%20l&#233;gaux%20et%20r&#233;glementaires/Doctrine%20CNCC/Notes%20d'information%20CNCC/NI-XI%20-%20Octobre%202012/NI-XI%20-%20Octobre%202012.pdf" TargetMode="External"/></Relationships>
</file>

<file path=word/theme/theme1.xml><?xml version="1.0" encoding="utf-8"?>
<a:theme xmlns:a="http://schemas.openxmlformats.org/drawingml/2006/main" name="ESSAI CAC">
  <a:themeElements>
    <a:clrScheme name="ATH2016">
      <a:dk1>
        <a:sysClr val="windowText" lastClr="000000"/>
      </a:dk1>
      <a:lt1>
        <a:sysClr val="window" lastClr="FFFFFF"/>
      </a:lt1>
      <a:dk2>
        <a:srgbClr val="666666"/>
      </a:dk2>
      <a:lt2>
        <a:srgbClr val="D2D2D2"/>
      </a:lt2>
      <a:accent1>
        <a:srgbClr val="612C51"/>
      </a:accent1>
      <a:accent2>
        <a:srgbClr val="B06C96"/>
      </a:accent2>
      <a:accent3>
        <a:srgbClr val="9C007F"/>
      </a:accent3>
      <a:accent4>
        <a:srgbClr val="4A3041"/>
      </a:accent4>
      <a:accent5>
        <a:srgbClr val="004096"/>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2015-02-01T00:00:00</PublishDate>
  <Abstract>Obligations permanentes du commissaire aux comptes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3C72EDF-EC7C-499E-B1C9-010504FB8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26</Pages>
  <Words>10840</Words>
  <Characters>59626</Characters>
  <Application>Microsoft Office Word</Application>
  <DocSecurity>0</DocSecurity>
  <Lines>496</Lines>
  <Paragraphs>140</Paragraphs>
  <ScaleCrop>false</ScaleCrop>
  <HeadingPairs>
    <vt:vector size="2" baseType="variant">
      <vt:variant>
        <vt:lpstr>Titre</vt:lpstr>
      </vt:variant>
      <vt:variant>
        <vt:i4>1</vt:i4>
      </vt:variant>
    </vt:vector>
  </HeadingPairs>
  <TitlesOfParts>
    <vt:vector size="1" baseType="lpstr">
      <vt:lpstr>Chapitre 2413</vt:lpstr>
    </vt:vector>
  </TitlesOfParts>
  <Company>Microsoft</Company>
  <LinksUpToDate>false</LinksUpToDate>
  <CharactersWithSpaces>70326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2413</dc:title>
  <dc:creator>ATH</dc:creator>
  <cp:lastModifiedBy>Martine MICHEL</cp:lastModifiedBy>
  <cp:revision>4</cp:revision>
  <cp:lastPrinted>2016-05-25T09:36:00Z</cp:lastPrinted>
  <dcterms:created xsi:type="dcterms:W3CDTF">2016-05-30T13:37:00Z</dcterms:created>
  <dcterms:modified xsi:type="dcterms:W3CDTF">2016-06-28T09:48:00Z</dcterms:modified>
</cp:coreProperties>
</file>